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4.2. Coeficientes del estudio de evento año por año (frente a 2022), exposición de 2019,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961"/>
        <w:gridCol w:w="1426"/>
        <w:gridCol w:w="1071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2026-09-26T20:42:23Z</dcterms:modified>
  <cp:category/>
</cp:coreProperties>
</file>