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4.3. Coeficiente de 2023 frente al promedio de los coeficientes previos (2015-2019, 2021), en valor absoluto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465"/>
        <w:gridCol w:w="1854"/>
        <w:gridCol w:w="1707"/>
        <w:gridCol w:w="2698"/>
        <w:gridCol w:w="345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promedio_previo_pct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coef_2023_pct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mismo_signo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pct_2023_de_la_previa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c2023_MENOR_que_la_previa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2026-09-26T20:42:23Z</dcterms:modified>
  <cp:category/>
</cp:coreProperties>
</file>