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5.1. Criterios de lectura, resumidos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65"/>
        <w:gridCol w:w="127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celda limpia (2019): signo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celda limpia (2019): significativo al 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rezago 4-5: se mantiene negativo y significativo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tendencias previas (exposición 2019): p-valor conjunto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Bite: ¿el coef. de 2023 es MENOR que el promedio de los previos?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negativas en la celda limpia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negativas Y significativas al 5% en la celda limpia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que NO rechazan tendencias previas (p &gt;= 0,10)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donde 2023 es MENOR que el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2026-09-26T20:42:24Z</dcterms:modified>
  <cp:category/>
</cp:coreProperties>
</file>