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7. Diferencia simple: cambio en firmas de alta menos baja exposición (puntos porcentuales)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41"/>
        <w:gridCol w:w="1927"/>
        <w:gridCol w:w="1988"/>
        <w:gridCol w:w="316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indicador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alta_exposicion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baja_exposicion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diferencia_alta_menos_baja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Cambio % del salario promedio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-9.13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Cambio % del empleo promedio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-5.30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2026-09-17T00:34:34Z</dcterms:modified>
  <cp:category/>
</cp:coreProperties>
</file>