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13. Resultados exploratorios (sin lectura causal fuerte)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46"/>
        <w:gridCol w:w="1462"/>
        <w:gridCol w:w="1854"/>
        <w:gridCol w:w="1132"/>
        <w:gridCol w:w="1609"/>
        <w:gridCol w:w="1609"/>
        <w:gridCol w:w="1731"/>
        <w:gridCol w:w="1829"/>
        <w:gridCol w:w="1010"/>
        <w:gridCol w:w="15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(trabajadores)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(trabajadores)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 (puntos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Exploratorio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2026-09-17T00:35:57Z</dcterms:modified>
  <cp:category/>
</cp:coreProperties>
</file>