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13c. Compresión salarial: efecto sobre salarios por categoría y brechas (exploratorio)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859"/>
        <w:gridCol w:w="1462"/>
        <w:gridCol w:w="1854"/>
        <w:gridCol w:w="1132"/>
        <w:gridCol w:w="1609"/>
        <w:gridCol w:w="1609"/>
        <w:gridCol w:w="1731"/>
        <w:gridCol w:w="1829"/>
        <w:gridCol w:w="1010"/>
        <w:gridCol w:w="2160"/>
        <w:gridCol w:w="1585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resultado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coeficiente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error_estandar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p_valor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significancia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ic95_inferior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ic95_superior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observaciones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firmas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efecto_porcentual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lectura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obrero (log)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-0.0160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-0.0256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-0.0064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42,238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5,088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-1.6025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Exploratorio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administrativo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-0.0497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42,072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-3.6963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Exploratorio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profesional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-0.0406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27,761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3,936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-2.3145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Exploratorio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Brecha administrativo - obrero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39,898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4,991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-1.3046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Exploratorio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Brecha profesional - obrero (log)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-0.0048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0.0093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0.6077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-0.0231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0.0135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26,477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3,876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-0.4785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Exploratorio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2026-09-17T00:36:31Z</dcterms:modified>
  <cp:category/>
</cp:coreProperties>
</file>