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6296"/>
        <w:gridCol w:w="8421"/>
        <w:gridCol w:w="183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pendiente_en_validaciones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sector, tamaño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al período de comparación (2022 fue un año de alto empleo) y magnitud tolerable de desviaciones (Honest DiD).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y gráfico G05 (primer eslabón).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salario relativo de las firmas expuestas venía cayendo hasta 2022 (prueba de años previos del salario). Separar el salto de 2023 de una recuperación de salarios bajos del año base.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sector, tamaño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el efecto fijo de año.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PAEF e incentivo a nuevos empleos pagaban un monto fijo por trabajador, con más peso en firmas de salarios bajos; 2024 como año sin subsidios.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y 2022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Revisar si hubo ajustes a finales de 2022.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 medir Kaitz en otros años.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Patrón de las tendencias previas en composición del empleo.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Separar compresión de cambios de composición; repetir con Kaitz medido en otro año.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2026-09-17T00:36:47Z</dcterms:modified>
  <cp:category/>
</cp:coreProperties>
</file>