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Celda limpia año por año,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Celda limpia año por año,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1426"/>
        <w:gridCol w:w="1071"/>
        <w:gridCol w:w="1132"/>
        <w:gridCol w:w="1609"/>
        <w:gridCol w:w="1010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</w:t>
            </w:r>
          </w:p>
        </w:tc>
      </w:tr>
    </w:tbl>
    <w:p>
      <w:pPr>
        <w:pStyle w:val="Titre2"/>
      </w:pPr>
      <w:r>
        <w:t xml:space="preserve">Tabla 2. 2023 frente a los años normales,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2023 frente a los años normales,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964"/>
        <w:gridCol w:w="1622"/>
        <w:gridCol w:w="1145"/>
        <w:gridCol w:w="2123"/>
        <w:gridCol w:w="1976"/>
        <w:gridCol w:w="1108"/>
        <w:gridCol w:w="1989"/>
        <w:gridCol w:w="222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anios_normales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supera_a_todos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3. Cuánto del coeficiente de 2023 sobrevive al cortar el traslape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Cuánto del coeficiente de 2023 sobrevive al cortar el traslape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988"/>
        <w:gridCol w:w="1512"/>
        <w:gridCol w:w="1512"/>
        <w:gridCol w:w="1707"/>
        <w:gridCol w:w="1230"/>
        <w:gridCol w:w="1230"/>
        <w:gridCol w:w="2257"/>
        <w:gridCol w:w="1670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pct_que_sobrevive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sig_limpio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-73.900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4. Compresión salarial: 2023 frente a los años normales,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Compresión salarial: 2023 frente a los años normales,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22"/>
        <w:gridCol w:w="1145"/>
        <w:gridCol w:w="2123"/>
        <w:gridCol w:w="1976"/>
        <w:gridCol w:w="1108"/>
        <w:gridCol w:w="19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supera_a_todos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Titre2"/>
      </w:pPr>
      <w:r>
        <w:t xml:space="preserve">Tabla 5. Diferencial de 2023 según el rezago de la exposición,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Diferencial de 2023 según el rezago de la exposición,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1426"/>
        <w:gridCol w:w="1071"/>
        <w:gridCol w:w="1132"/>
        <w:gridCol w:w="1609"/>
        <w:gridCol w:w="1010"/>
        <w:gridCol w:w="10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2026-09-25T00:06:53Z</dcterms:modified>
  <cp:category/>
</cp:coreProperties>
</file>