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2023 frente a los años normales, por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1964"/>
        <w:gridCol w:w="1622"/>
        <w:gridCol w:w="1145"/>
        <w:gridCol w:w="2123"/>
        <w:gridCol w:w="1976"/>
        <w:gridCol w:w="1108"/>
        <w:gridCol w:w="1989"/>
        <w:gridCol w:w="222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anios_normales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promedio_normal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maximo_normal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exceso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supera_a_todos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2026-09-25T00:06:34Z</dcterms:modified>
  <cp:category/>
</cp:coreProperties>
</file>