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Cuánto del coeficiente de 2023 sobrevive al cortar el traslape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88"/>
        <w:gridCol w:w="1512"/>
        <w:gridCol w:w="1512"/>
        <w:gridCol w:w="1707"/>
        <w:gridCol w:w="1230"/>
        <w:gridCol w:w="1230"/>
        <w:gridCol w:w="2257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pct_que_sobrevive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-73.900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2026-09-25T00:06:37Z</dcterms:modified>
  <cp:category/>
</cp:coreProperties>
</file>