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Diferencial de 2023 según el rezago de la exposición,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671"/>
        <w:gridCol w:w="1988"/>
        <w:gridCol w:w="2514"/>
        <w:gridCol w:w="1426"/>
        <w:gridCol w:w="1071"/>
        <w:gridCol w:w="1132"/>
        <w:gridCol w:w="1609"/>
        <w:gridCol w:w="1010"/>
        <w:gridCol w:w="108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rezago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2026-09-25T00:06:49Z</dcterms:modified>
  <cp:category/>
</cp:coreProperties>
</file>