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Diferencial del costo laboral por DE de exposición,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Diferencial del costo laboral por DE de exposición,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4.908</w:t>
            </w:r>
          </w:p>
        </w:tc>
      </w:tr>
    </w:tbl>
    <w:p>
      <w:pPr>
        <w:pStyle w:val="Titre2"/>
      </w:pPr>
      <w:r>
        <w:t xml:space="preserve">Tabla 2. El diferencial de 2023 frente a los años normales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El diferencial de 2023 frente a los años normales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79"/>
        <w:gridCol w:w="103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Diferencial de 2023 (año del choque)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Promedio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Mínimo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Máximo de los años normales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Exceso de 2023 sobre el promedio normal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¿2023 está por encima de TODOS los años normales?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p>
      <w:pPr>
        <w:pStyle w:val="Titre2"/>
      </w:pPr>
      <w:r>
        <w:t xml:space="preserve">Tabla 3. Diferencial medido frente al tamaño del aumento del mínimo de cada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Diferencial medido frente al tamaño del aumento del mínimo de cada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2514"/>
        <w:gridCol w:w="1426"/>
        <w:gridCol w:w="1071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Titre2"/>
      </w:pPr>
      <w:r>
        <w:t xml:space="preserve">Tabla 4. Cuánta variación de cada medida sobrevive a los controles de celda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p>
      <w:pPr>
        <w:pStyle w:val="Titre2"/>
      </w:pPr>
      <w:r>
        <w:t xml:space="preserve">Tabla 5. Efecto de cada medida según cuántos controles de celda se incluyan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Efecto de cada medida según cuántos controles de celda se incluyan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79"/>
        <w:gridCol w:w="2257"/>
        <w:gridCol w:w="1426"/>
        <w:gridCol w:w="1071"/>
        <w:gridCol w:w="1132"/>
        <w:gridCol w:w="160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Firmas parecidas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Solo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Sector y tamaño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Bite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Celda completa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3,078</w:t>
            </w:r>
          </w:p>
        </w:tc>
      </w:tr>
    </w:tbl>
    <w:p>
      <w:pPr>
        <w:pStyle w:val="Titre2"/>
      </w:pPr>
      <w:r>
        <w:t xml:space="preserve">Tabla 6. Diferencial de la brecha obrero/administrativo, año por año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2026-09-24T23:33:30Z</dcterms:modified>
  <cp:category/>
</cp:coreProperties>
</file>