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El diferencial de 2023 frente a los años normales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779"/>
        <w:gridCol w:w="103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Diferencial de 2023 (año del choque)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de los años normales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Mínimo de los años normales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Máximo de los años normales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Exceso de 2023 sobre el promedio 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-1.478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¿2023 está por encima de TODOS los años normales?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2026-09-24T23:33:20Z</dcterms:modified>
  <cp:category/>
</cp:coreProperties>
</file>