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6. Diferencial de la brecha obrero/administrativo, año por año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671"/>
        <w:gridCol w:w="1426"/>
        <w:gridCol w:w="2514"/>
        <w:gridCol w:w="1426"/>
        <w:gridCol w:w="1071"/>
        <w:gridCol w:w="1132"/>
        <w:gridCol w:w="1609"/>
        <w:gridCol w:w="1010"/>
        <w:gridCol w:w="1487"/>
        <w:gridCol w:w="961"/>
        <w:gridCol w:w="1084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anio_choque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anio_base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aumento_minimo_pct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firmas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es_choque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ic_inf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ic_sup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4.602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10.028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5,269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8.567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11.489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9.826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7.926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11.726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10.454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8.672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12.235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10.895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4,113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8.860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12.930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4,714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8.435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11.772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10.068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11.534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4,247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9.489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13.579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11.193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4,289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9.597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12.789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12.069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8.767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4,145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7.346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10.188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2026-09-24T23:33:27Z</dcterms:modified>
  <cp:category/>
</cp:coreProperties>
</file>