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con vs. sin clasificación de 2022, en su primer año observado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254"/>
        <w:gridCol w:w="2172"/>
        <w:gridCol w:w="2098"/>
        <w:gridCol w:w="3249"/>
        <w:gridCol w:w="2367"/>
        <w:gridCol w:w="1683"/>
        <w:gridCol w:w="1670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n_anios_promedio_en_panel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pct_pequena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pct_grande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8,788.00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9,343.00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2026-09-27T14:53:26Z</dcterms:modified>
  <cp:category/>
</cp:coreProperties>
</file>