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Conteo y porcentaje de NA en CIIU4, DPTO y tamano_empresa,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961"/>
        <w:gridCol w:w="1230"/>
        <w:gridCol w:w="1206"/>
        <w:gridCol w:w="1512"/>
        <w:gridCol w:w="1646"/>
        <w:gridCol w:w="1622"/>
        <w:gridCol w:w="192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na_ciiu4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na_dpto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na_tamano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pct_na_ciiu4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pct_na_dpto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pct_na_tamano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2026-09-27T14:53:28Z</dcterms:modified>
  <cp:category/>
</cp:coreProperties>
</file>