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Diez sectores (CIIU4) con más firmas y % en alta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22"/>
        <w:gridCol w:w="1010"/>
        <w:gridCol w:w="307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porcentaje_alta_exposicion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2026-10-02T02:45:13Z</dcterms:modified>
  <cp:category/>
</cp:coreProperties>
</file>