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10. Resultado principal: efecto del aumento de 2023 sobre el empleo total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64"/>
        <w:gridCol w:w="1462"/>
        <w:gridCol w:w="1854"/>
        <w:gridCol w:w="1132"/>
        <w:gridCol w:w="1609"/>
        <w:gridCol w:w="1609"/>
        <w:gridCol w:w="1731"/>
        <w:gridCol w:w="1829"/>
        <w:gridCol w:w="1010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(trabajadores)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-7.3699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-10.1990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-4.5408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-4.3258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2026-10-02T02:45:16Z</dcterms:modified>
  <cp:category/>
</cp:coreProperties>
</file>