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Características de las firmas por grupo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1010"/>
        <w:gridCol w:w="1903"/>
        <w:gridCol w:w="2172"/>
        <w:gridCol w:w="2098"/>
        <w:gridCol w:w="3395"/>
        <w:gridCol w:w="305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salario_promedio_anual_miles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43,953.73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29,598.85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2026-10-02T02:45:11Z</dcterms:modified>
  <cp:category/>
</cp:coreProperties>
</file>