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3b. Costo laboral por trabajador en veces el salario mínimo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952"/>
        <w:gridCol w:w="2783"/>
        <w:gridCol w:w="2319"/>
        <w:gridCol w:w="250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mediana_veces_minimo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debajo_del_minimo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mas_de_10_minimos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2026-10-02T02:45:11Z</dcterms:modified>
  <cp:category/>
</cp:coreProperties>
</file>