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Diferencia simple: cambio en firmas de alta menos baja exposición (puntos porcentuales)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927"/>
        <w:gridCol w:w="1988"/>
        <w:gridCol w:w="31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diferencia_alta_menos_baja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salario promedio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empleo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2026-10-02T02:45:13Z</dcterms:modified>
  <cp:category/>
</cp:coreProperties>
</file>