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13b. Brecha salarial mediana frente a los obreros (%, en log x 100), por año y grupo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952"/>
        <w:gridCol w:w="2979"/>
        <w:gridCol w:w="2759"/>
        <w:gridCol w:w="2759"/>
        <w:gridCol w:w="253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brecha_admin_obrero_pct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brecha_prof_obrero_pct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firmas_con_dato_admin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firmas_con_dato_prof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1,581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1,762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1,212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2026-10-02T02:45:19Z</dcterms:modified>
  <cp:category/>
</cp:coreProperties>
</file>