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Columnas usadas: porcentaje de vacíos y ceros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p>
      <w:pPr>
        <w:pStyle w:val="Titre2"/>
      </w:pPr>
      <w:r>
        <w:t xml:space="preserve">Tabla 1. Salario mínimo mensual y aumento anual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218"/>
        <w:gridCol w:w="2417"/>
        <w:gridCol w:w="1756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aumento_real_decreto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p>
      <w:pPr>
        <w:pStyle w:val="Titre2"/>
      </w:pPr>
      <w:r>
        <w:t xml:space="preserve">Tabla 2. Número de firmas por año y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p>
      <w:pPr>
        <w:pStyle w:val="Titre2"/>
      </w:pPr>
      <w:r>
        <w:t xml:space="preserve">Tabla 3. Características de las firmas por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p>
      <w:pPr>
        <w:pStyle w:val="Titre2"/>
      </w:pPr>
      <w:r>
        <w:t xml:space="preserve">Tabla 3b. Costo laboral por trabajador en veces 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Tabla 4. Firmas por tamaño y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p>
      <w:pPr>
        <w:pStyle w:val="Titre2"/>
      </w:pPr>
      <w:r>
        <w:t xml:space="preserve">Tabla 5. Diez sectores (CIIU4) con más firmas y % en alta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p>
      <w:pPr>
        <w:pStyle w:val="Titre2"/>
      </w:pPr>
      <w:r>
        <w:t xml:space="preserve">Tabla 6. Promedios antes y después de 2023 por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4043"/>
        <w:gridCol w:w="4349"/>
        <w:gridCol w:w="4116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</w:tbl>
    <w:p>
      <w:pPr>
        <w:pStyle w:val="Titre2"/>
      </w:pPr>
      <w:r>
        <w:t xml:space="preserve">Tabla 7. Diferencia simple: cambio en firmas de alta menos baja exposición (puntos porcentuales)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</w:t>
            </w:r>
          </w:p>
        </w:tc>
      </w:tr>
    </w:tbl>
    <w:p>
      <w:pPr>
        <w:pStyle w:val="Titre2"/>
      </w:pPr>
      <w:r>
        <w:t xml:space="preserve">Tabla 9. Salario promedio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0.0547</w:t>
            </w:r>
          </w:p>
        </w:tc>
      </w:tr>
    </w:tbl>
    <w:p>
      <w:pPr>
        <w:pStyle w:val="Titre2"/>
      </w:pPr>
      <w:r>
        <w:t xml:space="preserve">Tabla 8. Primer eslabón: aumento del salario promedio en firmas más expuestas (tres lecturas)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 (sin el año base)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-0.1663</w:t>
            </w:r>
          </w:p>
        </w:tc>
      </w:tr>
    </w:tbl>
    <w:p>
      <w:pPr>
        <w:pStyle w:val="Titre2"/>
      </w:pPr>
      <w:r>
        <w:t xml:space="preserve">Tabla 10. Resultado principal: efecto del aumento de 2023 sobre el empleo total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</w:tbl>
    <w:p>
      <w:pPr>
        <w:pStyle w:val="Titre2"/>
      </w:pPr>
      <w:r>
        <w:t xml:space="preserve">Tabla 11. Empleo total año por año frente a 2022 (trabajadores)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2.947</w:t>
            </w:r>
          </w:p>
        </w:tc>
      </w:tr>
    </w:tbl>
    <w:p>
      <w:pPr>
        <w:pStyle w:val="Titre2"/>
      </w:pPr>
      <w:r>
        <w:t xml:space="preserve">Tabla 12. Empleo total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</w:tr>
    </w:tbl>
    <w:p>
      <w:pPr>
        <w:pStyle w:val="Titre2"/>
      </w:pPr>
      <w:r>
        <w:t xml:space="preserve">Tabla 13. Resultados exploratorios (sin lectura causal fuerte)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-5.4590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13b. Brecha salarial mediana frente a los obreros (%, en log x 100), por año y grupo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1,212</w:t>
            </w:r>
          </w:p>
        </w:tc>
      </w:tr>
    </w:tbl>
    <w:p>
      <w:pPr>
        <w:pStyle w:val="Titre2"/>
      </w:pPr>
      <w:r>
        <w:t xml:space="preserve">Tabla 13c. Compresión salarial: efecto sobre salarios por categoría y brechas (exploratorio)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14. Efecto por tamaño de firma (salario y empleo, 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p>
      <w:pPr>
        <w:pStyle w:val="Titre2"/>
      </w:pPr>
      <w:r>
        <w:t xml:space="preserve">Tabla 15. Supuestos del modelo y validaciones pendientes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5440"/>
        <w:gridCol w:w="8017"/>
        <w:gridCol w:w="266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estado_segun_resultados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se cumple: el empleo de las firmas expuestas cae frente al de las demás desde 2015, y la trayectoria no cambia en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(lecturas A a D) y gráfico G05.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se verifica: frente a 2021 el costo no sube más en las expuestas (-0,2%, p = 0,78); el +3,3% frente a 2022 es el rebote del año base. El placebo rodante y la variable instrumental (09 y 14, estimados con control de tamaño) tampoco distinguen 2023 de un año normal.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los efectos fijos.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los efectos fijos absorben lo común a cada año, sector y departamento, pero no un efecto distinto del PAEF o del incentivo al empleo en firmas de salarios bajos.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evaluable por separado: la tendencia previa impide distinguir anticipación de trayectoria.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el Kaitz es previo al alza de 2023, pero se mide después del alza de 2022 (la mayor en términos reales según el decreto) y comparte el ruido del año base con los resultados.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mantienen como asociaciones: reflejan la menor dinámica de las firmas expuestas.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verificable con la EAM: el salario de obreros entra en la brecha y en el Kaitz, solo hay promedios por categoría y la medición del salario integral cambió en 2020.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2026-10-02T02:45:26Z</dcterms:modified>
  <cp:category/>
</cp:coreProperties>
</file>