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5440"/>
        <w:gridCol w:w="8017"/>
        <w:gridCol w:w="266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estado_segun_resultados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cumple: el empleo de las firmas expuestas cae frente al de las demás desde 2015, y la trayectoria no cambia en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(lecturas A a D) y gráfico G05.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se verifica: frente a 2021 el costo no sube más en las expuestas (-0,2%, p = 0,78); el +3,3% frente a 2022 es el rebote del año base. El placebo rodante y la variable instrumental (09 y 14, estimados con control de tamaño) tampoco distinguen 2023 de un año normal.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los efectos fijos.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los efectos fijos absorben lo común a cada año, sector y departamento, pero no un efecto distinto del PAEF o del incentivo al empleo en firmas de salarios bajos.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evaluable por separado: la tendencia previa impide distinguir anticipación de trayectoria.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Parcial: el Kaitz es previo al alza de 2023, pero se mide después del alza de 2022 (la mayor en términos reales según el decreto) y comparte el ruido del año base con los resultados.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mantienen como asociaciones: reflejan la menor dinámica de las firmas expuestas.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verificable con la EAM: el salario de obreros entra en la brecha y en el Kaitz, solo hay promedios por categoría y la medición del salario integral cambió en 2020.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2026-10-02T02:45:21Z</dcterms:modified>
  <cp:category/>
</cp:coreProperties>
</file>