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7091" w14:textId="77777777" w:rsidR="00EF7742" w:rsidRDefault="00EF7742">
      <w:r w:rsidRPr="00EF7742">
        <w:t xml:space="preserve">Actúas como un auditor experto en ciberseguridad y cumplimiento normativo; tu tarea es generar un informe técnico estructurado a partir de hallazgos OSINT ficticios y de las respuestas de un proveedor al cuestionario del Anexo II (Requisitos Software), conforme a marcos como ENS, ISO 27001:2022, RGPD, NIS2, DORA y CRA; </w:t>
      </w:r>
    </w:p>
    <w:p w14:paraId="2D4101FD" w14:textId="77777777" w:rsidR="00EF7742" w:rsidRDefault="00EF7742">
      <w:r w:rsidRPr="00EF7742">
        <w:t xml:space="preserve">los hallazgos OSINT son: </w:t>
      </w:r>
    </w:p>
    <w:p w14:paraId="466AE46D" w14:textId="77777777" w:rsidR="00EF7742" w:rsidRDefault="00EF7742">
      <w:r w:rsidRPr="00EF7742">
        <w:t xml:space="preserve">(1) el dominio proveedor-soft.com aparece en VirusTotal con dos URL marcadas como phishing en 2024, </w:t>
      </w:r>
    </w:p>
    <w:p w14:paraId="1C14D8CA" w14:textId="77777777" w:rsidR="00EF7742" w:rsidRDefault="00EF7742">
      <w:r w:rsidRPr="00EF7742">
        <w:t>(2) Shodan identifica el puerto 3389 expuesto con credenciales débiles en una de sus direcciones IP públicas,</w:t>
      </w:r>
    </w:p>
    <w:p w14:paraId="75C2534F" w14:textId="77777777" w:rsidR="00EF7742" w:rsidRDefault="00EF7742">
      <w:r w:rsidRPr="00EF7742">
        <w:t xml:space="preserve"> (3) un listado parcial de usuarios y hashes de contraseñas del proveedor fue publicado en un foro clandestino en 2023, </w:t>
      </w:r>
    </w:p>
    <w:p w14:paraId="7DED0BFD" w14:textId="77777777" w:rsidR="00EF7742" w:rsidRDefault="00EF7742">
      <w:r w:rsidRPr="00EF7742">
        <w:t xml:space="preserve">(4) búsquedas avanzadas en Google muestran directorios de backup accesibles con documentación técnica, </w:t>
      </w:r>
    </w:p>
    <w:p w14:paraId="1E7AC6E0" w14:textId="77777777" w:rsidR="00EF7742" w:rsidRDefault="00EF7742">
      <w:r w:rsidRPr="00EF7742">
        <w:t xml:space="preserve">(5) un certificado TLS caducado fue detectado en uno de sus subdominios críticos, </w:t>
      </w:r>
    </w:p>
    <w:p w14:paraId="295F1C10" w14:textId="77777777" w:rsidR="00EF7742" w:rsidRDefault="00EF7742">
      <w:r w:rsidRPr="00EF7742">
        <w:t xml:space="preserve">(6) la AEPD registra una sanción leve en 2022 por uso inadecuado de datos personales, </w:t>
      </w:r>
    </w:p>
    <w:p w14:paraId="471E3CF9" w14:textId="77777777" w:rsidR="00EF7742" w:rsidRDefault="00EF7742">
      <w:r w:rsidRPr="00EF7742">
        <w:t xml:space="preserve">(7) en redes sociales técnicas se observan quejas de antiguos empleados sobre falta de control en accesos a entornos de desarrollo, </w:t>
      </w:r>
    </w:p>
    <w:p w14:paraId="5D03A2DB" w14:textId="77777777" w:rsidR="00EF7742" w:rsidRDefault="00EF7742">
      <w:r w:rsidRPr="00EF7742">
        <w:t xml:space="preserve">(8) sin embargo, la empresa participa en programas de Bug Bounty y publica reportes de vulnerabilidades corregidas en los últimos seis meses; </w:t>
      </w:r>
    </w:p>
    <w:p w14:paraId="588914B5" w14:textId="77777777" w:rsidR="00EF7742" w:rsidRDefault="00EF7742">
      <w:r w:rsidRPr="00EF7742">
        <w:t xml:space="preserve">las respuestas del proveedor al Anexo II son: </w:t>
      </w:r>
    </w:p>
    <w:p w14:paraId="0A404AB0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RS-SD-01 desarrollo incluido en contrato (sí), </w:t>
      </w:r>
    </w:p>
    <w:p w14:paraId="7FEBE1C7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RS-SD-02 metodología de desarrollo seguro (parcial, no formalizada), </w:t>
      </w:r>
    </w:p>
    <w:p w14:paraId="4872D529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RS-SD-03 separación de entornos prod/dev (sí), </w:t>
      </w:r>
    </w:p>
    <w:p w14:paraId="576F9DF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RS-SD-04 revisión anual de privilegios de desarrolladores (no), </w:t>
      </w:r>
    </w:p>
    <w:p w14:paraId="3ED40ECF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RS-SD-05 SBOM disponible (no), </w:t>
      </w:r>
    </w:p>
    <w:p w14:paraId="4E8EF91A" w14:textId="6FE08840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RS-SD-06 </w:t>
      </w:r>
      <w:r w:rsidR="007A5F7C">
        <w:t>los</w:t>
      </w:r>
      <w:r w:rsidRPr="00EF7742">
        <w:t xml:space="preserve"> datos en preproducción </w:t>
      </w:r>
      <w:r w:rsidR="007A5F7C">
        <w:t xml:space="preserve">son anónimos </w:t>
      </w:r>
      <w:r w:rsidRPr="00EF7742">
        <w:t xml:space="preserve">(parcial, solo algunos proyectos), </w:t>
      </w:r>
    </w:p>
    <w:p w14:paraId="70D9D7F6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RS-CB-01 provisión de software (sí), </w:t>
      </w:r>
    </w:p>
    <w:p w14:paraId="3BCFBF68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RS-CB-02 escaneo de vulnerabilidades y plan de resolución (parcial, no recurrente), </w:t>
      </w:r>
    </w:p>
    <w:p w14:paraId="02750210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RS-CB-03 asunción de resolución de vulnerabilidades (sí), </w:t>
      </w:r>
    </w:p>
    <w:p w14:paraId="7883738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>RS-CB-04 trazabilidad de accesos y logs (no),</w:t>
      </w:r>
    </w:p>
    <w:p w14:paraId="3D208C20" w14:textId="2DBBBEA8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RS-CB-05 entrega de logs a SIEM/API (parcial, manual), </w:t>
      </w:r>
    </w:p>
    <w:p w14:paraId="0646428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lastRenderedPageBreak/>
        <w:t xml:space="preserve">RS-CB-06 protección frente a DoS (sí, básica), </w:t>
      </w:r>
    </w:p>
    <w:p w14:paraId="0E1F7ADF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RS-CB-07 sincronización de relojes (sí, NTP configurado), </w:t>
      </w:r>
    </w:p>
    <w:p w14:paraId="2F594359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RS-DA-01 cifrado en tránsito, uso y almacenamiento (parcial, solo en tránsito), </w:t>
      </w:r>
    </w:p>
    <w:p w14:paraId="65076E64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RS-DA-02 algoritmos criptográficos (AES-256 en algunos módulos), </w:t>
      </w:r>
    </w:p>
    <w:p w14:paraId="7918E71B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RS-DA-03 estrategia de seguridad de comunicaciones (no), </w:t>
      </w:r>
    </w:p>
    <w:p w14:paraId="478C665B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RS-DA-04 segregación física de datos por cliente (no), </w:t>
      </w:r>
    </w:p>
    <w:p w14:paraId="536F6C51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RS-GI-01 integración con sistemas de autenticación cliente (sí, SAML2), </w:t>
      </w:r>
    </w:p>
    <w:p w14:paraId="03C2626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RS-GI-02 aplicación de mínimo privilegio (parcial), </w:t>
      </w:r>
    </w:p>
    <w:p w14:paraId="5B493AC6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RS-GI-03 controles avanzados de seguridad software como WAF, DLP o CASB (no), </w:t>
      </w:r>
    </w:p>
    <w:p w14:paraId="500C3FCD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RS-SN-01 pruebas de penetración externas (parcial, solo internas), </w:t>
      </w:r>
    </w:p>
    <w:p w14:paraId="57434987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>RS-SN-02 ubicación UE de data centers (no, fuera de la UE),</w:t>
      </w:r>
    </w:p>
    <w:p w14:paraId="743F72EF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RS-SN-03 identificación de hosting y geolocalización (sí, pero incompleta), </w:t>
      </w:r>
    </w:p>
    <w:p w14:paraId="6277739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RS-SN-04 funciones de gestión de activos para cliente (no), </w:t>
      </w:r>
    </w:p>
    <w:p w14:paraId="6AE7889B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RS-IA-01 limitación de funcionalidades de IA (parcial), </w:t>
      </w:r>
    </w:p>
    <w:p w14:paraId="2E06398D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RS-IA-02 monitorización de complementos IA (no), </w:t>
      </w:r>
    </w:p>
    <w:p w14:paraId="3EFDFCE5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>RS-IA-03 detección de anomalías IA/DoS (sí, básica),</w:t>
      </w:r>
    </w:p>
    <w:p w14:paraId="3F16F9C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RS-IA-04 firma digital/verificación modelos IA (no), </w:t>
      </w:r>
    </w:p>
    <w:p w14:paraId="796AFB64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RS-IA-05 aplicación de parches en IA (parcial, manual), </w:t>
      </w:r>
    </w:p>
    <w:p w14:paraId="2D5E7C0E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RS-IA-06 protección frente a filtración de datos confidenciales en IA (no), </w:t>
      </w:r>
    </w:p>
    <w:p w14:paraId="0C203D74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RS-IA-07 filtrado y saneamiento de datos externos en IA (parcial), </w:t>
      </w:r>
    </w:p>
    <w:p w14:paraId="43BF4B98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RS-IA-08 evaluación de cumplimiento regulatorio en IA (no), </w:t>
      </w:r>
    </w:p>
    <w:p w14:paraId="20779CA2" w14:textId="77777777" w:rsidR="00EF7742" w:rsidRDefault="00EF7742" w:rsidP="00EF7742">
      <w:pPr>
        <w:pStyle w:val="Prrafodelista"/>
        <w:numPr>
          <w:ilvl w:val="0"/>
          <w:numId w:val="1"/>
        </w:numPr>
      </w:pPr>
      <w:r w:rsidRPr="00EF7742">
        <w:t xml:space="preserve">RS-IA-09 certificación ISO 42001 u otra relacionada con IA (no); </w:t>
      </w:r>
    </w:p>
    <w:p w14:paraId="27E171D9" w14:textId="77777777" w:rsidR="00EF7742" w:rsidRDefault="00EF7742"/>
    <w:p w14:paraId="44E22438" w14:textId="77777777" w:rsidR="00EF7742" w:rsidRDefault="00EF7742">
      <w:r w:rsidRPr="00EF7742">
        <w:t xml:space="preserve">con toda esta información, genera un informe en español dividido en: </w:t>
      </w:r>
    </w:p>
    <w:p w14:paraId="7E33117A" w14:textId="77777777" w:rsidR="00EF7742" w:rsidRDefault="00EF7742">
      <w:r w:rsidRPr="00EF7742">
        <w:t xml:space="preserve">(1) resumen ejecutivo (100–150 palabras), </w:t>
      </w:r>
    </w:p>
    <w:p w14:paraId="12468DD7" w14:textId="77777777" w:rsidR="00EF7742" w:rsidRDefault="00EF7742">
      <w:r w:rsidRPr="00EF7742">
        <w:t xml:space="preserve">(2) nivel de riesgo general (ALTO/MEDIO/BAJO) con justificación y porcentaje del 1% al 100%, </w:t>
      </w:r>
    </w:p>
    <w:p w14:paraId="4B5DB110" w14:textId="77777777" w:rsidR="00EF7742" w:rsidRDefault="00EF7742">
      <w:r w:rsidRPr="00EF7742">
        <w:t xml:space="preserve">(3) controles críticos no cumplidos o parcialmente cumplidos (mínimo cinco), </w:t>
      </w:r>
    </w:p>
    <w:p w14:paraId="2ADD1B74" w14:textId="77777777" w:rsidR="00EF7742" w:rsidRDefault="00EF7742">
      <w:r w:rsidRPr="00EF7742">
        <w:t xml:space="preserve">(4) recomendaciones específicas y priorizadas (mínimo tres), </w:t>
      </w:r>
    </w:p>
    <w:p w14:paraId="69CFA4C9" w14:textId="69819279" w:rsidR="008D65B0" w:rsidRDefault="00EF7742">
      <w:r w:rsidRPr="00EF7742">
        <w:t>(5) conclusión (máximo 50 palabras); redacta en tono profesional, objetivo y sin añadir información no contenida en el prompt.</w:t>
      </w:r>
    </w:p>
    <w:sectPr w:rsidR="008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F4733"/>
    <w:multiLevelType w:val="hybridMultilevel"/>
    <w:tmpl w:val="61C8D4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42"/>
    <w:rsid w:val="00487559"/>
    <w:rsid w:val="0058283D"/>
    <w:rsid w:val="005E11DA"/>
    <w:rsid w:val="006F4824"/>
    <w:rsid w:val="007A5F7C"/>
    <w:rsid w:val="007F4790"/>
    <w:rsid w:val="008D65B0"/>
    <w:rsid w:val="00BC5D8B"/>
    <w:rsid w:val="00C67DFA"/>
    <w:rsid w:val="00D57ADF"/>
    <w:rsid w:val="00E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916E"/>
  <w15:chartTrackingRefBased/>
  <w15:docId w15:val="{6626E43C-AF3A-4FFF-903D-08718F7C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7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7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7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7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7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7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2025-09-06T19:01:00Z</dcterms:created>
  <dcterms:modified xsi:type="dcterms:W3CDTF">2025-09-12T17:52:00Z</dcterms:modified>
</cp:coreProperties>
</file>