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Style w:val="Textoennegrita"/>
          <w:rFonts w:ascii="Helvetica" w:hAnsi="Helvetica" w:cs="Helvetica"/>
          <w:color w:val="141412"/>
        </w:rPr>
        <w:t>CLASIFICACIÓN DE LOS TRIBUTOS SEGÚN SU ADMINISTRACIÓN</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1. Gobierno Central</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Impuesto a la Renta</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Impuesto General a las Ventas</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Impuesto Selectivo al Consumo</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Impuesto Extraordinario de Solidaridad</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Derechos Arancelarios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2. Gobiernos Locales</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Impuesto Predial</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Impuesto de Alcabala</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Impuesto al Patrimonio Vehicular</w:t>
      </w:r>
      <w:r>
        <w:rPr>
          <w:rFonts w:ascii="Helvetica" w:hAnsi="Helvetica" w:cs="Helvetica"/>
          <w:color w:val="141412"/>
        </w:rPr>
        <w:br/>
        <w:t>3. Otros</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Contribuciones a la Seguridad Social</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Contribución al Servicio Nacional de Adiestramiento Técnico Industrial – SENATI</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Contribución al Servicio Nacional de Capacitación para la Industria de la Construcción – SENCICO</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1. Gobierno Central</w:t>
      </w:r>
      <w:r>
        <w:rPr>
          <w:rFonts w:ascii="Helvetica" w:hAnsi="Helvetica" w:cs="Helvetica"/>
          <w:color w:val="141412"/>
        </w:rPr>
        <w:br/>
        <w:t>Impuesto a la Renta</w:t>
      </w:r>
      <w:r>
        <w:rPr>
          <w:rFonts w:ascii="Helvetica" w:hAnsi="Helvetica" w:cs="Helvetica"/>
          <w:color w:val="141412"/>
        </w:rPr>
        <w:br/>
        <w:t>El Impuesto a la Renta grava las rentas que provengan del capital, del trabajo y de la aplicación conjunta de ambos factores, entendiéndose como tales a aquéllas que provengan de una fuente durable y susceptible de generar ingresos periódicos.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Las rentas de fuente peruana afectas al impuesto están divididas en cinco categorías, además existe un tratamiento especial para las rentas percibidas de fuente extranjera.</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1. Primera categoría, las rentas reales (en efectivo o en especie) del arrendamiento o sub – arrendamiento, el valor de las mejoras, provenientes de los predios rústicos y urbanos o de bienes muebles.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2. Segunda categoría, intereses por colocación de capitales, regalías, patentes, rentas vitalicias, derechos de llave y otros.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3. Tercera categoría, en general, las derivadas de actividades comerciales, industriales, servicios o negocios.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4. Cuarta categoría, las obtenidas por el ejercicio individual de cualquier profesión, ciencia, arte u oficio.</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lastRenderedPageBreak/>
        <w:t>5. Quinta categoría, las obtenidas por el trabajo personal prestado en relación de dependencia.</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Los contribuyentes para fines del Impuesto se clasifican en contribuyentes domiciliados y contribuyentes no domiciliados en el Perú y; en personas jurídicas, personas naturales.</w:t>
      </w:r>
      <w:r>
        <w:rPr>
          <w:rFonts w:ascii="Helvetica" w:hAnsi="Helvetica" w:cs="Helvetica"/>
          <w:color w:val="141412"/>
        </w:rPr>
        <w:br/>
        <w:t>Los contribuyentes domiciliados tributan por sus rentas anuales de fuente mundial, debiendo efectuar anticipos mensuales del impuesto.</w:t>
      </w:r>
      <w:r>
        <w:rPr>
          <w:rFonts w:ascii="Helvetica" w:hAnsi="Helvetica" w:cs="Helvetica"/>
          <w:color w:val="141412"/>
        </w:rPr>
        <w:br/>
        <w:t>En cambio, los contribuyentes no domiciliados, conjuntamente con sus establecimientos permanentes en el país, tributan sólo por sus rentas de fuente peruana, siendo de realización inmediata.</w:t>
      </w:r>
      <w:r>
        <w:rPr>
          <w:rFonts w:ascii="Helvetica" w:hAnsi="Helvetica" w:cs="Helvetica"/>
          <w:color w:val="141412"/>
        </w:rPr>
        <w:br/>
        <w:t>Se considerarán domiciliadas en el país, a las personas naturales extranjeras que hayan residido o permanecido en el país por 2 años o más en forma continuada. No interrumpe la continuidad de la residencia o permanencia, las ausencias temporales de hasta 90 días en el ejercicio; sin embargo, podrán optar por someterse al tratamiento que la Ley otorga a las personas domiciliadas, una vez que hayan cumplido con 6 meses de permanencia en el</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País y se inscriban en el Registro Único de Contribuyentes (RUC).</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Se consideran como rentas de fuente peruana, sin importar la nacionalidad o domicilio de las partes que intervengan en las operaciones y el lugar de celebración o cumplimiento de los contratos, a las siguientes: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1. Las producidas por predios situados en el territorio del país.</w:t>
      </w:r>
      <w:r>
        <w:rPr>
          <w:rFonts w:ascii="Helvetica" w:hAnsi="Helvetica" w:cs="Helvetica"/>
          <w:color w:val="141412"/>
        </w:rPr>
        <w:br/>
        <w:t>2. Las producidas por capitales, bienes o derechos, incluidas las regalías, situados físicamente o colocados o utilizados económicamente en el país.</w:t>
      </w:r>
      <w:r>
        <w:rPr>
          <w:rFonts w:ascii="Helvetica" w:hAnsi="Helvetica" w:cs="Helvetica"/>
          <w:color w:val="141412"/>
        </w:rPr>
        <w:br/>
        <w:t>3. Las originadas en el trabajo personal o en actividades civiles, comerciales o de cualquier índole, que se lleven a cabo en el territorio del Perú.</w:t>
      </w:r>
      <w:r>
        <w:rPr>
          <w:rFonts w:ascii="Helvetica" w:hAnsi="Helvetica" w:cs="Helvetica"/>
          <w:color w:val="141412"/>
        </w:rPr>
        <w:br/>
        <w:t>4. Las obtenidas por la enajenación de acciones o participaciones representativas del capital de empresas o sociedades constituidas en el Perú.</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Los contribuyentes domiciliados que realizan actividades consideradas como de la tercera categoría, según la Ley del Impuesto – actividades comerciales, industriales, etc., deberán aplicar la tasa del 27% sobre la renta imponible.</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UIT (La Unidad Impositiva Tributaria):</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Es un valor de referencia utilizado por las normas tributarias límites de afectación, deducción, para determinar bases imponibles, para aplicar sanciones, etc. Su valor se determina considerando los supuestos macroeconómicos. Para el ejercicio 2003 ha sido fijada en S/. 3 100.00.</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lastRenderedPageBreak/>
        <w:t>Se dispone la aplicación de las siguientes tasas para los intereses provenientes de créditos externos: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1.- 4,99%: siempre que los créditos cumplan con los siguientes requisitos:</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en caso de préstamos en efectivo, que se acredite el ingreso de la moneda extranjera al país; y,</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que el crédito no devengue un interés anual al rebatir superior a la tasa preferencial predominante en la plaza de donde provenga, más tres puntos</w:t>
      </w:r>
      <w:r>
        <w:rPr>
          <w:rFonts w:ascii="Helvetica" w:hAnsi="Helvetica" w:cs="Helvetica"/>
          <w:color w:val="141412"/>
        </w:rPr>
        <w:br/>
        <w:t>Los referidos tres puntos cubren los gastos y comisiones, primas y toda otras suma adicional al interés pactado de cualquier tipo que se pague a beneficiarios del extranjero.</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2.- 30%: que se aplicará de la siguiente forma:</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Para los créditos que no cumplan con el requisito establecido en el primer ítem del numeral 1, o que excedan de la tasa máxima de interés establecida en el segundo ítem del mismo numeral, en cuyo caso la tasa de 30% se aplica sobre la parte que excede de dicha tasa.</w:t>
      </w:r>
      <w:r>
        <w:rPr>
          <w:rFonts w:ascii="Helvetica" w:hAnsi="Helvetica" w:cs="Helvetica"/>
          <w:color w:val="141412"/>
        </w:rPr>
        <w:br/>
      </w:r>
      <w:r>
        <w:rPr>
          <w:rFonts w:ascii="MS Gothic" w:eastAsia="MS Gothic" w:hAnsi="MS Gothic" w:cs="MS Gothic" w:hint="eastAsia"/>
          <w:color w:val="141412"/>
        </w:rPr>
        <w:t>➢</w:t>
      </w:r>
      <w:r>
        <w:rPr>
          <w:rFonts w:ascii="Helvetica" w:hAnsi="Helvetica" w:cs="Helvetica"/>
          <w:color w:val="141412"/>
        </w:rPr>
        <w:t xml:space="preserve"> Sobre el íntegro de los intereses que abonen al exterior “las empresas privadas del país por créditos concedidos por una empresa con la que se encuentre vinculada económicamente.</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3.- 1%: por los intereses que abonen al exterior las empresas bancarias y las empresas financieras establecidas en el Perú como resultado de la utilización en el país de sus líneas de crédito en el exterior.</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Por su parte, en el caso de personas naturales domiciliadas que obtengan rentas de cualquier categoría, con excepción de la de tercera categoría, la tasa es progresiva, 15% por rentas de hasta 27 UIT, 21% por el exceso de 27 UIT y hasta 54 UIT y, 30% por el exceso de 54 UIT.</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Los pagos a cuenta por las rentas de tercera categoría se efectúan en función a dos sistemas:</w:t>
      </w:r>
      <w:r>
        <w:rPr>
          <w:rFonts w:ascii="Helvetica" w:hAnsi="Helvetica" w:cs="Helvetica"/>
          <w:color w:val="141412"/>
        </w:rPr>
        <w:br/>
        <w:t>a. Sistema de coeficientes, aplicable a contribuyentes perceptores de rentas de tercera categoría que en el ejercicio gravable anterior hayan obtenido renta imponible.</w:t>
      </w:r>
      <w:r>
        <w:rPr>
          <w:rFonts w:ascii="Helvetica" w:hAnsi="Helvetica" w:cs="Helvetica"/>
          <w:color w:val="141412"/>
        </w:rPr>
        <w:br/>
        <w:t>El coeficiente se obtiene de dividir el monto del impuesto calculado correspondiente al ejercicio anterior entre el total de los ingresos netos del mismo ejercicio.</w:t>
      </w:r>
      <w:r>
        <w:rPr>
          <w:rFonts w:ascii="Helvetica" w:hAnsi="Helvetica" w:cs="Helvetica"/>
          <w:color w:val="141412"/>
        </w:rPr>
        <w:br/>
        <w:t>b. Sistema del dos por ciento, aplicable a los contribuyentes perceptores de rentas de tercera categoría, que hayan iniciado operaciones durante el ejercicio o que no hayan obtenido renta imponible en el ejercicio anterior (es decir que hayan obtenido pérdida tributaria).</w:t>
      </w:r>
      <w:r>
        <w:rPr>
          <w:rFonts w:ascii="Helvetica" w:hAnsi="Helvetica" w:cs="Helvetica"/>
          <w:color w:val="141412"/>
        </w:rPr>
        <w:br/>
        <w:t>c. Adicionalmente al pago a cuenta que le corresponda al contribuyente, se deberá abonar un anticipo que se aplica con una tasa progresiva que va de 0,25% a 1,25% de los activos netos de la empresa.</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lastRenderedPageBreak/>
        <w:t>El monto total del anticipo se podrá pagar hasta en 9 cuotas mensuales y podrá utilizarse como crédito contra el pago de regularización del ejercicio, como crédito contra los pagos a cuenta o solicitar su devolución luego de vencido el plazo para la declaración anual del impuesto.</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Cabe mencionar, que los dividendos y otras formas de distribución de utilidades recibidas de las personas jurídicas se encuentran sujetos a una tasa de 4,1%.</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Impuesto General a las Ventas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El Impuesto General a las Ventas “IGV” (impuesto al valor agregado), grava la venta en el país de bienes muebles, la importación de bienes, la prestación o utilización de servicios en el país, los contratos de construcción y la primera venta de inmuebles que realicen los constructores de los mismos.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Este Impuesto grava únicamente el valor agregado en cada etapa de la producción y circulación de bienes y servicios, permitiendo la deducción del impuesto pagado en la etapa anterior, a lo que se denomina crédito fiscal.</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El Impuesto se liquida mensualmente, siendo su tasa de 16%.</w:t>
      </w:r>
      <w:r>
        <w:rPr>
          <w:rFonts w:ascii="Helvetica" w:hAnsi="Helvetica" w:cs="Helvetica"/>
          <w:color w:val="141412"/>
        </w:rPr>
        <w:br/>
        <w:t>Entre las diversas operaciones no gravadas con dicho impuesto, podemos mencionar la exportación de bienes y servicios y la transferencia de bienes con motivo de la reorganización de empresas.</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Impuesto de Promoción Municipal</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Este Impuesto se aplica en los mismos supuestos y de la misma forma que el Impuesto General a las Ventas, con una tasa de 2%, por lo tanto, funciona como un aumento de dicho Impuesto.</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En la práctica, en todas las operaciones gravadas con el Impuesto General a las Ventas se aplica la tasa del 18%, que resulta de la sumatoria de este impuesto con el de Promoción Municipal.</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Impuesto Selectivo al Consumo</w:t>
      </w:r>
    </w:p>
    <w:p w:rsidR="009A6215" w:rsidRDefault="009A6215" w:rsidP="009A6215">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El Impuesto Selectivo al Consumo es un tributo al consumo específico, y grava la venta en el país a nivel de productos de determinados bienes, la importación de los mismos, la venta en el país de los mismos bienes cuando es efectuada por el importador y los juegos de azar y apuestas. De manera similar a lo que acontece con el Impuesto General a las Ventas este tributo es de realización inmediata, pero se determina mensualmente. Las tasas de este Impuesto oscilan entre 0 y 118%, dependiendo del bien gravado, según las tablas respectivas.</w:t>
      </w:r>
    </w:p>
    <w:p w:rsidR="001A274A" w:rsidRDefault="001A274A"/>
    <w:p w:rsidR="005D298C" w:rsidRDefault="005D298C"/>
    <w:p w:rsidR="005D298C" w:rsidRDefault="005D298C"/>
    <w:p w:rsidR="005D298C" w:rsidRDefault="00515D3C">
      <w:hyperlink r:id="rId5" w:history="1">
        <w:r w:rsidRPr="00C61653">
          <w:rPr>
            <w:rStyle w:val="Hipervnculo"/>
          </w:rPr>
          <w:t>http://www.monografias.com/trabajos99/tributos-periocidad-mensual/tributos-periocidad-mensual.shtml</w:t>
        </w:r>
      </w:hyperlink>
    </w:p>
    <w:p w:rsidR="00515D3C" w:rsidRPr="00515D3C" w:rsidRDefault="00515D3C" w:rsidP="00515D3C">
      <w:pPr>
        <w:shd w:val="clear" w:color="auto" w:fill="FFFFFF"/>
        <w:spacing w:after="300" w:line="330" w:lineRule="atLeast"/>
        <w:rPr>
          <w:rFonts w:ascii="Arial" w:eastAsia="Times New Roman" w:hAnsi="Arial" w:cs="Arial"/>
          <w:color w:val="4A4A4A"/>
          <w:sz w:val="21"/>
          <w:szCs w:val="21"/>
          <w:lang w:eastAsia="es-PE"/>
        </w:rPr>
      </w:pPr>
      <w:r w:rsidRPr="00515D3C">
        <w:rPr>
          <w:rFonts w:ascii="Arial" w:eastAsia="Times New Roman" w:hAnsi="Arial" w:cs="Arial"/>
          <w:color w:val="4A4A4A"/>
          <w:sz w:val="21"/>
          <w:szCs w:val="21"/>
          <w:lang w:eastAsia="es-PE"/>
        </w:rPr>
        <w:t>Los </w:t>
      </w:r>
      <w:r w:rsidRPr="00515D3C">
        <w:rPr>
          <w:rFonts w:ascii="Arial" w:eastAsia="Times New Roman" w:hAnsi="Arial" w:cs="Arial"/>
          <w:b/>
          <w:bCs/>
          <w:color w:val="5D5D5D"/>
          <w:sz w:val="21"/>
          <w:szCs w:val="21"/>
          <w:lang w:eastAsia="es-PE"/>
        </w:rPr>
        <w:t>impuestos en el Perú</w:t>
      </w:r>
      <w:r w:rsidRPr="00515D3C">
        <w:rPr>
          <w:rFonts w:ascii="Arial" w:eastAsia="Times New Roman" w:hAnsi="Arial" w:cs="Arial"/>
          <w:color w:val="4A4A4A"/>
          <w:sz w:val="21"/>
          <w:szCs w:val="21"/>
          <w:lang w:eastAsia="es-PE"/>
        </w:rPr>
        <w:t> gravan determinadas actividades con el fin de recaudar fondos para el Estado peruano, que decidirá luego en qué invertirá el dinero recaudado. Son necesarios, pues de otra manera, el Estado no contaría con el presupuesto suficiente como para satisfacer las necesidades de su nación. Aquí ya no solo basta con gravar y tratar de obtener todo el dinero posible, sino de </w:t>
      </w:r>
      <w:r w:rsidRPr="00515D3C">
        <w:rPr>
          <w:rFonts w:ascii="Arial" w:eastAsia="Times New Roman" w:hAnsi="Arial" w:cs="Arial"/>
          <w:b/>
          <w:bCs/>
          <w:color w:val="5D5D5D"/>
          <w:sz w:val="21"/>
          <w:szCs w:val="21"/>
          <w:lang w:eastAsia="es-PE"/>
        </w:rPr>
        <w:t>gravar estratégicamente en determinados sectores</w:t>
      </w:r>
      <w:r w:rsidRPr="00515D3C">
        <w:rPr>
          <w:rFonts w:ascii="Arial" w:eastAsia="Times New Roman" w:hAnsi="Arial" w:cs="Arial"/>
          <w:color w:val="4A4A4A"/>
          <w:sz w:val="21"/>
          <w:szCs w:val="21"/>
          <w:lang w:eastAsia="es-PE"/>
        </w:rPr>
        <w:t> para promover o no su producción, consumo y actividad económica. Por ello, principalmente, el Estado peruano recauda los siguientes tipos de impuesto en el Perú:</w:t>
      </w:r>
    </w:p>
    <w:p w:rsidR="00515D3C" w:rsidRPr="00515D3C" w:rsidRDefault="00515D3C" w:rsidP="00515D3C">
      <w:pPr>
        <w:shd w:val="clear" w:color="auto" w:fill="FFFFFF"/>
        <w:spacing w:before="450" w:after="225" w:line="405" w:lineRule="atLeast"/>
        <w:outlineLvl w:val="1"/>
        <w:rPr>
          <w:rFonts w:ascii="Arial" w:eastAsia="Times New Roman" w:hAnsi="Arial" w:cs="Arial"/>
          <w:color w:val="0083B9"/>
          <w:sz w:val="35"/>
          <w:szCs w:val="35"/>
          <w:lang w:eastAsia="es-PE"/>
        </w:rPr>
      </w:pPr>
      <w:r w:rsidRPr="00515D3C">
        <w:rPr>
          <w:rFonts w:ascii="Arial" w:eastAsia="Times New Roman" w:hAnsi="Arial" w:cs="Arial"/>
          <w:color w:val="0083B9"/>
          <w:sz w:val="35"/>
          <w:szCs w:val="35"/>
          <w:lang w:eastAsia="es-PE"/>
        </w:rPr>
        <w:t>Impuesto a la Renta</w:t>
      </w:r>
    </w:p>
    <w:p w:rsidR="00515D3C" w:rsidRPr="00515D3C" w:rsidRDefault="00515D3C" w:rsidP="00515D3C">
      <w:pPr>
        <w:shd w:val="clear" w:color="auto" w:fill="FFFFFF"/>
        <w:spacing w:after="300" w:line="330" w:lineRule="atLeast"/>
        <w:rPr>
          <w:rFonts w:ascii="Arial" w:eastAsia="Times New Roman" w:hAnsi="Arial" w:cs="Arial"/>
          <w:color w:val="4A4A4A"/>
          <w:sz w:val="21"/>
          <w:szCs w:val="21"/>
          <w:lang w:eastAsia="es-PE"/>
        </w:rPr>
      </w:pPr>
      <w:r w:rsidRPr="00515D3C">
        <w:rPr>
          <w:rFonts w:ascii="Arial" w:eastAsia="Times New Roman" w:hAnsi="Arial" w:cs="Arial"/>
          <w:color w:val="4A4A4A"/>
          <w:sz w:val="21"/>
          <w:szCs w:val="21"/>
          <w:lang w:eastAsia="es-PE"/>
        </w:rPr>
        <w:t>Esta clase de impuesto grava las distintas clases de renta que una persona recibe a lo largo del año. Hay cinco tipos de rentas: Primera categoría (</w:t>
      </w:r>
      <w:r w:rsidRPr="00515D3C">
        <w:rPr>
          <w:rFonts w:ascii="Arial" w:eastAsia="Times New Roman" w:hAnsi="Arial" w:cs="Arial"/>
          <w:b/>
          <w:bCs/>
          <w:color w:val="5D5D5D"/>
          <w:sz w:val="21"/>
          <w:szCs w:val="21"/>
          <w:lang w:eastAsia="es-PE"/>
        </w:rPr>
        <w:t>arrendamiento, subarrendamiento</w:t>
      </w:r>
      <w:r w:rsidRPr="00515D3C">
        <w:rPr>
          <w:rFonts w:ascii="Arial" w:eastAsia="Times New Roman" w:hAnsi="Arial" w:cs="Arial"/>
          <w:color w:val="4A4A4A"/>
          <w:sz w:val="21"/>
          <w:szCs w:val="21"/>
          <w:lang w:eastAsia="es-PE"/>
        </w:rPr>
        <w:t>), Segunda categoría (</w:t>
      </w:r>
      <w:r w:rsidRPr="00515D3C">
        <w:rPr>
          <w:rFonts w:ascii="Arial" w:eastAsia="Times New Roman" w:hAnsi="Arial" w:cs="Arial"/>
          <w:b/>
          <w:bCs/>
          <w:color w:val="5D5D5D"/>
          <w:sz w:val="21"/>
          <w:szCs w:val="21"/>
          <w:lang w:eastAsia="es-PE"/>
        </w:rPr>
        <w:t>intereses de préstamos, patentes, regalías, ganancias de capital</w:t>
      </w:r>
      <w:r w:rsidRPr="00515D3C">
        <w:rPr>
          <w:rFonts w:ascii="Arial" w:eastAsia="Times New Roman" w:hAnsi="Arial" w:cs="Arial"/>
          <w:color w:val="4A4A4A"/>
          <w:sz w:val="21"/>
          <w:szCs w:val="21"/>
          <w:lang w:eastAsia="es-PE"/>
        </w:rPr>
        <w:t>), Tercera categoría (</w:t>
      </w:r>
      <w:r w:rsidRPr="00515D3C">
        <w:rPr>
          <w:rFonts w:ascii="Arial" w:eastAsia="Times New Roman" w:hAnsi="Arial" w:cs="Arial"/>
          <w:b/>
          <w:bCs/>
          <w:color w:val="5D5D5D"/>
          <w:sz w:val="21"/>
          <w:szCs w:val="21"/>
          <w:lang w:eastAsia="es-PE"/>
        </w:rPr>
        <w:t>rentas de comercio e industria</w:t>
      </w:r>
      <w:r w:rsidRPr="00515D3C">
        <w:rPr>
          <w:rFonts w:ascii="Arial" w:eastAsia="Times New Roman" w:hAnsi="Arial" w:cs="Arial"/>
          <w:color w:val="4A4A4A"/>
          <w:sz w:val="21"/>
          <w:szCs w:val="21"/>
          <w:lang w:eastAsia="es-PE"/>
        </w:rPr>
        <w:t>), Cuarta categoría (</w:t>
      </w:r>
      <w:r w:rsidRPr="00515D3C">
        <w:rPr>
          <w:rFonts w:ascii="Arial" w:eastAsia="Times New Roman" w:hAnsi="Arial" w:cs="Arial"/>
          <w:b/>
          <w:bCs/>
          <w:color w:val="5D5D5D"/>
          <w:sz w:val="21"/>
          <w:szCs w:val="21"/>
          <w:lang w:eastAsia="es-PE"/>
        </w:rPr>
        <w:t>trabajo independiente</w:t>
      </w:r>
      <w:r w:rsidRPr="00515D3C">
        <w:rPr>
          <w:rFonts w:ascii="Arial" w:eastAsia="Times New Roman" w:hAnsi="Arial" w:cs="Arial"/>
          <w:color w:val="4A4A4A"/>
          <w:sz w:val="21"/>
          <w:szCs w:val="21"/>
          <w:lang w:eastAsia="es-PE"/>
        </w:rPr>
        <w:t>) y Quinta categoría (</w:t>
      </w:r>
      <w:r w:rsidRPr="00515D3C">
        <w:rPr>
          <w:rFonts w:ascii="Arial" w:eastAsia="Times New Roman" w:hAnsi="Arial" w:cs="Arial"/>
          <w:b/>
          <w:bCs/>
          <w:color w:val="5D5D5D"/>
          <w:sz w:val="21"/>
          <w:szCs w:val="21"/>
          <w:lang w:eastAsia="es-PE"/>
        </w:rPr>
        <w:t>trabajo dependiente</w:t>
      </w:r>
      <w:r w:rsidRPr="00515D3C">
        <w:rPr>
          <w:rFonts w:ascii="Arial" w:eastAsia="Times New Roman" w:hAnsi="Arial" w:cs="Arial"/>
          <w:color w:val="4A4A4A"/>
          <w:sz w:val="21"/>
          <w:szCs w:val="21"/>
          <w:lang w:eastAsia="es-PE"/>
        </w:rPr>
        <w:t>).</w:t>
      </w:r>
    </w:p>
    <w:p w:rsidR="00515D3C" w:rsidRPr="00515D3C" w:rsidRDefault="00515D3C" w:rsidP="00515D3C">
      <w:pPr>
        <w:shd w:val="clear" w:color="auto" w:fill="FFFFFF"/>
        <w:spacing w:before="450" w:after="225" w:line="405" w:lineRule="atLeast"/>
        <w:outlineLvl w:val="1"/>
        <w:rPr>
          <w:rFonts w:ascii="Arial" w:eastAsia="Times New Roman" w:hAnsi="Arial" w:cs="Arial"/>
          <w:color w:val="0083B9"/>
          <w:sz w:val="35"/>
          <w:szCs w:val="35"/>
          <w:lang w:eastAsia="es-PE"/>
        </w:rPr>
      </w:pPr>
      <w:r w:rsidRPr="00515D3C">
        <w:rPr>
          <w:rFonts w:ascii="Arial" w:eastAsia="Times New Roman" w:hAnsi="Arial" w:cs="Arial"/>
          <w:color w:val="0083B9"/>
          <w:sz w:val="35"/>
          <w:szCs w:val="35"/>
          <w:lang w:eastAsia="es-PE"/>
        </w:rPr>
        <w:t>Impuesto General a las Ventas (IGV)</w:t>
      </w:r>
    </w:p>
    <w:p w:rsidR="00515D3C" w:rsidRPr="00515D3C" w:rsidRDefault="00515D3C" w:rsidP="00515D3C">
      <w:pPr>
        <w:shd w:val="clear" w:color="auto" w:fill="FFFFFF"/>
        <w:spacing w:after="300" w:line="330" w:lineRule="atLeast"/>
        <w:rPr>
          <w:rFonts w:ascii="Arial" w:eastAsia="Times New Roman" w:hAnsi="Arial" w:cs="Arial"/>
          <w:color w:val="4A4A4A"/>
          <w:sz w:val="21"/>
          <w:szCs w:val="21"/>
          <w:lang w:eastAsia="es-PE"/>
        </w:rPr>
      </w:pPr>
      <w:r w:rsidRPr="00515D3C">
        <w:rPr>
          <w:rFonts w:ascii="Arial" w:eastAsia="Times New Roman" w:hAnsi="Arial" w:cs="Arial"/>
          <w:color w:val="4A4A4A"/>
          <w:sz w:val="21"/>
          <w:szCs w:val="21"/>
          <w:lang w:eastAsia="es-PE"/>
        </w:rPr>
        <w:t>Este es uno de los impuestos en el Perú que genera mayores ingresos para el Estado. </w:t>
      </w:r>
      <w:r w:rsidRPr="00515D3C">
        <w:rPr>
          <w:rFonts w:ascii="Arial" w:eastAsia="Times New Roman" w:hAnsi="Arial" w:cs="Arial"/>
          <w:b/>
          <w:bCs/>
          <w:color w:val="5D5D5D"/>
          <w:sz w:val="21"/>
          <w:szCs w:val="21"/>
          <w:lang w:eastAsia="es-PE"/>
        </w:rPr>
        <w:t>Grava el valor agregado de todas las transacciones realizadas en las etapas del ciclo económico</w:t>
      </w:r>
      <w:r w:rsidRPr="00515D3C">
        <w:rPr>
          <w:rFonts w:ascii="Arial" w:eastAsia="Times New Roman" w:hAnsi="Arial" w:cs="Arial"/>
          <w:color w:val="4A4A4A"/>
          <w:sz w:val="21"/>
          <w:szCs w:val="21"/>
          <w:lang w:eastAsia="es-PE"/>
        </w:rPr>
        <w:t> de la importación de bienes, la primera venta de bienes inmuebles, los contratos de construcción, la utilización de servicios en el país y la venta de bienes inmuebles en el país. Se suele decir que este impuesto grava el consumo y que el encargado de pagarlo es el consumidor.</w:t>
      </w:r>
    </w:p>
    <w:p w:rsidR="00515D3C" w:rsidRPr="00515D3C" w:rsidRDefault="00515D3C" w:rsidP="00515D3C">
      <w:pPr>
        <w:shd w:val="clear" w:color="auto" w:fill="FFFFFF"/>
        <w:spacing w:before="450" w:after="225" w:line="405" w:lineRule="atLeast"/>
        <w:outlineLvl w:val="1"/>
        <w:rPr>
          <w:rFonts w:ascii="Arial" w:eastAsia="Times New Roman" w:hAnsi="Arial" w:cs="Arial"/>
          <w:color w:val="0083B9"/>
          <w:sz w:val="35"/>
          <w:szCs w:val="35"/>
          <w:lang w:eastAsia="es-PE"/>
        </w:rPr>
      </w:pPr>
      <w:r w:rsidRPr="00515D3C">
        <w:rPr>
          <w:rFonts w:ascii="Arial" w:eastAsia="Times New Roman" w:hAnsi="Arial" w:cs="Arial"/>
          <w:color w:val="0083B9"/>
          <w:sz w:val="35"/>
          <w:szCs w:val="35"/>
          <w:lang w:eastAsia="es-PE"/>
        </w:rPr>
        <w:t>Impuesto Selectivo al Consumo</w:t>
      </w:r>
    </w:p>
    <w:p w:rsidR="00515D3C" w:rsidRPr="00515D3C" w:rsidRDefault="00515D3C" w:rsidP="00515D3C">
      <w:pPr>
        <w:shd w:val="clear" w:color="auto" w:fill="FFFFFF"/>
        <w:spacing w:after="300" w:line="330" w:lineRule="atLeast"/>
        <w:rPr>
          <w:rFonts w:ascii="Arial" w:eastAsia="Times New Roman" w:hAnsi="Arial" w:cs="Arial"/>
          <w:color w:val="4A4A4A"/>
          <w:sz w:val="21"/>
          <w:szCs w:val="21"/>
          <w:lang w:eastAsia="es-PE"/>
        </w:rPr>
      </w:pPr>
      <w:r w:rsidRPr="00515D3C">
        <w:rPr>
          <w:rFonts w:ascii="Arial" w:eastAsia="Times New Roman" w:hAnsi="Arial" w:cs="Arial"/>
          <w:color w:val="4A4A4A"/>
          <w:sz w:val="21"/>
          <w:szCs w:val="21"/>
          <w:lang w:eastAsia="es-PE"/>
        </w:rPr>
        <w:t>Este impuesto grava la venta en el país (</w:t>
      </w:r>
      <w:r w:rsidRPr="00515D3C">
        <w:rPr>
          <w:rFonts w:ascii="Arial" w:eastAsia="Times New Roman" w:hAnsi="Arial" w:cs="Arial"/>
          <w:b/>
          <w:bCs/>
          <w:color w:val="5D5D5D"/>
          <w:sz w:val="21"/>
          <w:szCs w:val="21"/>
          <w:lang w:eastAsia="es-PE"/>
        </w:rPr>
        <w:t>producción e importación de bienes</w:t>
      </w:r>
      <w:r w:rsidRPr="00515D3C">
        <w:rPr>
          <w:rFonts w:ascii="Arial" w:eastAsia="Times New Roman" w:hAnsi="Arial" w:cs="Arial"/>
          <w:color w:val="4A4A4A"/>
          <w:sz w:val="21"/>
          <w:szCs w:val="21"/>
          <w:lang w:eastAsia="es-PE"/>
        </w:rPr>
        <w:t>) de cigarrillos, combustibles, vehículos, cervezas, agua mineral, bebidas alcohólicas, juegos de azar, apuestas y artículos de lujo. </w:t>
      </w:r>
      <w:r w:rsidRPr="00515D3C">
        <w:rPr>
          <w:rFonts w:ascii="Arial" w:eastAsia="Times New Roman" w:hAnsi="Arial" w:cs="Arial"/>
          <w:b/>
          <w:bCs/>
          <w:color w:val="5D5D5D"/>
          <w:sz w:val="21"/>
          <w:szCs w:val="21"/>
          <w:lang w:eastAsia="es-PE"/>
        </w:rPr>
        <w:t>Entre el 0% y el 50% varían las tasas de este impuesto para cada producto, dependiendo del tipo</w:t>
      </w:r>
    </w:p>
    <w:p w:rsidR="00515D3C" w:rsidRDefault="00515D3C">
      <w:hyperlink r:id="rId6" w:history="1">
        <w:r w:rsidRPr="00C61653">
          <w:rPr>
            <w:rStyle w:val="Hipervnculo"/>
          </w:rPr>
          <w:t>http://www.monografias.com/trabajos105/recaudacion-tributaria-enperu-politica-tributaria/recaudacion-tributaria-enperu-politica-tributaria.shtml</w:t>
        </w:r>
      </w:hyperlink>
    </w:p>
    <w:p w:rsidR="00515D3C" w:rsidRDefault="00515D3C">
      <w:bookmarkStart w:id="0" w:name="_GoBack"/>
      <w:bookmarkEnd w:id="0"/>
    </w:p>
    <w:sectPr w:rsidR="00515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15"/>
    <w:rsid w:val="001A274A"/>
    <w:rsid w:val="00515D3C"/>
    <w:rsid w:val="005D298C"/>
    <w:rsid w:val="009A62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15D3C"/>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621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A6215"/>
    <w:rPr>
      <w:b/>
      <w:bCs/>
    </w:rPr>
  </w:style>
  <w:style w:type="character" w:styleId="Hipervnculo">
    <w:name w:val="Hyperlink"/>
    <w:basedOn w:val="Fuentedeprrafopredeter"/>
    <w:uiPriority w:val="99"/>
    <w:unhideWhenUsed/>
    <w:rsid w:val="00515D3C"/>
    <w:rPr>
      <w:color w:val="0000FF" w:themeColor="hyperlink"/>
      <w:u w:val="single"/>
    </w:rPr>
  </w:style>
  <w:style w:type="character" w:customStyle="1" w:styleId="Ttulo2Car">
    <w:name w:val="Título 2 Car"/>
    <w:basedOn w:val="Fuentedeprrafopredeter"/>
    <w:link w:val="Ttulo2"/>
    <w:uiPriority w:val="9"/>
    <w:rsid w:val="00515D3C"/>
    <w:rPr>
      <w:rFonts w:ascii="Times New Roman" w:eastAsia="Times New Roman" w:hAnsi="Times New Roman" w:cs="Times New Roman"/>
      <w:b/>
      <w:bCs/>
      <w:sz w:val="36"/>
      <w:szCs w:val="36"/>
      <w:lang w:eastAsia="es-PE"/>
    </w:rPr>
  </w:style>
  <w:style w:type="character" w:customStyle="1" w:styleId="apple-converted-space">
    <w:name w:val="apple-converted-space"/>
    <w:basedOn w:val="Fuentedeprrafopredeter"/>
    <w:rsid w:val="00515D3C"/>
  </w:style>
  <w:style w:type="paragraph" w:styleId="Textodeglobo">
    <w:name w:val="Balloon Text"/>
    <w:basedOn w:val="Normal"/>
    <w:link w:val="TextodegloboCar"/>
    <w:uiPriority w:val="99"/>
    <w:semiHidden/>
    <w:unhideWhenUsed/>
    <w:rsid w:val="00515D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15D3C"/>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621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A6215"/>
    <w:rPr>
      <w:b/>
      <w:bCs/>
    </w:rPr>
  </w:style>
  <w:style w:type="character" w:styleId="Hipervnculo">
    <w:name w:val="Hyperlink"/>
    <w:basedOn w:val="Fuentedeprrafopredeter"/>
    <w:uiPriority w:val="99"/>
    <w:unhideWhenUsed/>
    <w:rsid w:val="00515D3C"/>
    <w:rPr>
      <w:color w:val="0000FF" w:themeColor="hyperlink"/>
      <w:u w:val="single"/>
    </w:rPr>
  </w:style>
  <w:style w:type="character" w:customStyle="1" w:styleId="Ttulo2Car">
    <w:name w:val="Título 2 Car"/>
    <w:basedOn w:val="Fuentedeprrafopredeter"/>
    <w:link w:val="Ttulo2"/>
    <w:uiPriority w:val="9"/>
    <w:rsid w:val="00515D3C"/>
    <w:rPr>
      <w:rFonts w:ascii="Times New Roman" w:eastAsia="Times New Roman" w:hAnsi="Times New Roman" w:cs="Times New Roman"/>
      <w:b/>
      <w:bCs/>
      <w:sz w:val="36"/>
      <w:szCs w:val="36"/>
      <w:lang w:eastAsia="es-PE"/>
    </w:rPr>
  </w:style>
  <w:style w:type="character" w:customStyle="1" w:styleId="apple-converted-space">
    <w:name w:val="apple-converted-space"/>
    <w:basedOn w:val="Fuentedeprrafopredeter"/>
    <w:rsid w:val="00515D3C"/>
  </w:style>
  <w:style w:type="paragraph" w:styleId="Textodeglobo">
    <w:name w:val="Balloon Text"/>
    <w:basedOn w:val="Normal"/>
    <w:link w:val="TextodegloboCar"/>
    <w:uiPriority w:val="99"/>
    <w:semiHidden/>
    <w:unhideWhenUsed/>
    <w:rsid w:val="00515D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D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8284">
      <w:bodyDiv w:val="1"/>
      <w:marLeft w:val="0"/>
      <w:marRight w:val="0"/>
      <w:marTop w:val="0"/>
      <w:marBottom w:val="0"/>
      <w:divBdr>
        <w:top w:val="none" w:sz="0" w:space="0" w:color="auto"/>
        <w:left w:val="none" w:sz="0" w:space="0" w:color="auto"/>
        <w:bottom w:val="none" w:sz="0" w:space="0" w:color="auto"/>
        <w:right w:val="none" w:sz="0" w:space="0" w:color="auto"/>
      </w:divBdr>
    </w:div>
    <w:div w:id="15785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ografias.com/trabajos105/recaudacion-tributaria-enperu-politica-tributaria/recaudacion-tributaria-enperu-politica-tributaria.shtml" TargetMode="External"/><Relationship Id="rId5" Type="http://schemas.openxmlformats.org/officeDocument/2006/relationships/hyperlink" Target="http://www.monografias.com/trabajos99/tributos-periocidad-mensual/tributos-periocidad-mensual.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1696</Words>
  <Characters>9331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2017-06-15T19:56:00Z</dcterms:created>
  <dcterms:modified xsi:type="dcterms:W3CDTF">2017-06-15T20:43:00Z</dcterms:modified>
</cp:coreProperties>
</file>