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A3A5C"/>
          <w:sz w:val="32"/>
          <w:u w:val="none"/>
        </w:rPr>
        <w:t>MEDICIÓN DE INDICADORES — PLAN DE TRABAJO 2</w:t>
        <w:br/>
      </w:r>
      <w:r>
        <w:rPr>
          <w:b/>
          <w:i w:val="0"/>
          <w:color w:val="1A3A5C"/>
          <w:sz w:val="24"/>
          <w:u w:val="none"/>
        </w:rPr>
        <w:t>CONTEXTO ARQUITECTURA S.A.S. (CNTXT Casa de Diseño)</w:t>
        <w:br/>
      </w:r>
      <w:r>
        <w:rPr>
          <w:b w:val="0"/>
          <w:i w:val="0"/>
          <w:color w:val="5D6D7E"/>
          <w:sz w:val="20"/>
          <w:u w:val="none"/>
        </w:rPr>
        <w:t>Línea de Servicio: Productividad Operacional  |  NIT: 900.948.892-7</w:t>
        <w:br/>
      </w:r>
      <w:r>
        <w:rPr>
          <w:b w:val="0"/>
          <w:i w:val="0"/>
          <w:color w:val="5D6D7E"/>
          <w:sz w:val="20"/>
          <w:u w:val="none"/>
        </w:rPr>
        <w:t>Consultor: Miguel Bernardo Rodríguez Torres — INDUNNOVA S.A.S.</w:t>
        <w:br/>
      </w:r>
      <w:r>
        <w:rPr>
          <w:b w:val="0"/>
          <w:i w:val="0"/>
          <w:color w:val="5D6D7E"/>
          <w:sz w:val="20"/>
          <w:u w:val="none"/>
        </w:rPr>
        <w:t>Período intervención: 09 de abril – 18 de junio de 2026  |  Período línea base: Marzo de 2026</w:t>
      </w:r>
    </w:p>
    <w:p/>
    <w:p>
      <w:pPr>
        <w:spacing w:after="80"/>
        <w:jc w:val="left"/>
        <w:pBdr>
          <w:bottom w:val="single" w:sz="6" w:space="1" w:color="1a3a5c"/>
        </w:pBdr>
      </w:pPr>
      <w:r>
        <w:rPr>
          <w:b/>
          <w:color w:val="1A3A5C"/>
          <w:sz w:val="26"/>
        </w:rPr>
        <w:t>Portafolio de 13 Proyectos Activos — Alcance de la Medición (Marzo 2026)</w:t>
      </w:r>
    </w:p>
    <w:p>
      <w:pPr>
        <w:spacing w:after="120"/>
      </w:pPr>
      <w:r>
        <w:rPr>
          <w:b w:val="0"/>
          <w:i w:val="0"/>
          <w:sz w:val="20"/>
          <w:u w:val="none"/>
        </w:rPr>
        <w:t>Los indicadores IPT-1, IPT-2, IPT-3, IPT-4 e IPT-6 se midieron sobre el portafolio completo de 13 proyectos activos simultáneos de CNTXT en marzo de 2026. El alcance se mantendrá idéntico en las mediciones intermedia y de salida.</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1a3a5c"/>
          </w:tcPr>
          <w:p>
            <w:pPr>
              <w:jc w:val="center"/>
            </w:pPr>
            <w:r>
              <w:rPr>
                <w:b/>
                <w:color w:val="FFFFFF"/>
                <w:sz w:val="18"/>
              </w:rPr>
              <w:t>#</w:t>
            </w:r>
          </w:p>
        </w:tc>
        <w:tc>
          <w:tcPr>
            <w:tcW w:type="dxa" w:w="1881"/>
            <w:shd w:val="clear" w:color="auto" w:fill="1a3a5c"/>
          </w:tcPr>
          <w:p>
            <w:pPr>
              <w:jc w:val="center"/>
            </w:pPr>
            <w:r>
              <w:rPr>
                <w:b/>
                <w:color w:val="FFFFFF"/>
                <w:sz w:val="18"/>
              </w:rPr>
              <w:t>Modelo</w:t>
            </w:r>
          </w:p>
        </w:tc>
        <w:tc>
          <w:tcPr>
            <w:tcW w:type="dxa" w:w="1881"/>
            <w:shd w:val="clear" w:color="auto" w:fill="1a3a5c"/>
          </w:tcPr>
          <w:p>
            <w:pPr>
              <w:jc w:val="center"/>
            </w:pPr>
            <w:r>
              <w:rPr>
                <w:b/>
                <w:color w:val="FFFFFF"/>
                <w:sz w:val="18"/>
              </w:rPr>
              <w:t>Proyecto</w:t>
            </w:r>
          </w:p>
        </w:tc>
        <w:tc>
          <w:tcPr>
            <w:tcW w:type="dxa" w:w="1881"/>
            <w:shd w:val="clear" w:color="auto" w:fill="1a3a5c"/>
          </w:tcPr>
          <w:p>
            <w:pPr>
              <w:jc w:val="center"/>
            </w:pPr>
            <w:r>
              <w:rPr>
                <w:b/>
                <w:color w:val="FFFFFF"/>
                <w:sz w:val="18"/>
              </w:rPr>
              <w:t>Categoría</w:t>
            </w:r>
          </w:p>
        </w:tc>
        <w:tc>
          <w:tcPr>
            <w:tcW w:type="dxa" w:w="1881"/>
            <w:shd w:val="clear" w:color="auto" w:fill="1a3a5c"/>
          </w:tcPr>
          <w:p>
            <w:pPr>
              <w:jc w:val="center"/>
            </w:pPr>
            <w:r>
              <w:rPr>
                <w:b/>
                <w:color w:val="FFFFFF"/>
                <w:sz w:val="18"/>
              </w:rPr>
              <w:t>Línea Operativa</w:t>
            </w:r>
          </w:p>
        </w:tc>
      </w:tr>
      <w:tr>
        <w:tc>
          <w:tcPr>
            <w:tcW w:type="dxa" w:w="1881"/>
            <w:shd w:val="clear" w:color="auto" w:fill="FFFFFF"/>
          </w:tcPr>
          <w:p>
            <w:pPr>
              <w:jc w:val="left"/>
            </w:pPr>
            <w:r>
              <w:rPr>
                <w:sz w:val="18"/>
              </w:rPr>
              <w:t>1</w:t>
            </w:r>
          </w:p>
        </w:tc>
        <w:tc>
          <w:tcPr>
            <w:tcW w:type="dxa" w:w="1881"/>
            <w:shd w:val="clear" w:color="auto" w:fill="FFFFFF"/>
          </w:tcPr>
          <w:p>
            <w:pPr>
              <w:jc w:val="left"/>
            </w:pPr>
            <w:r>
              <w:rPr>
                <w:sz w:val="18"/>
              </w:rPr>
              <w:t>Made</w:t>
            </w:r>
          </w:p>
        </w:tc>
        <w:tc>
          <w:tcPr>
            <w:tcW w:type="dxa" w:w="1881"/>
            <w:shd w:val="clear" w:color="auto" w:fill="FFFFFF"/>
          </w:tcPr>
          <w:p>
            <w:pPr>
              <w:jc w:val="center"/>
            </w:pPr>
            <w:r>
              <w:rPr>
                <w:sz w:val="18"/>
              </w:rPr>
              <w:t>POP-UP AAA</w:t>
            </w:r>
          </w:p>
        </w:tc>
        <w:tc>
          <w:tcPr>
            <w:tcW w:type="dxa" w:w="1881"/>
            <w:shd w:val="clear" w:color="auto" w:fill="FFFFFF"/>
          </w:tcPr>
          <w:p>
            <w:pPr>
              <w:jc w:val="center"/>
            </w:pPr>
            <w:r>
              <w:rPr>
                <w:sz w:val="18"/>
              </w:rPr>
              <w:t>Comercial</w:t>
            </w:r>
          </w:p>
        </w:tc>
        <w:tc>
          <w:tcPr>
            <w:tcW w:type="dxa" w:w="1881"/>
            <w:shd w:val="clear" w:color="auto" w:fill="FFFFFF"/>
          </w:tcPr>
          <w:p>
            <w:pPr>
              <w:jc w:val="center"/>
            </w:pPr>
            <w:r>
              <w:rPr>
                <w:sz w:val="18"/>
              </w:rPr>
              <w:t>Diseño</w:t>
            </w:r>
          </w:p>
        </w:tc>
      </w:tr>
      <w:tr>
        <w:tc>
          <w:tcPr>
            <w:tcW w:type="dxa" w:w="1881"/>
            <w:shd w:val="clear" w:color="auto" w:fill="EAF0FB"/>
          </w:tcPr>
          <w:p>
            <w:pPr>
              <w:jc w:val="left"/>
            </w:pPr>
            <w:r>
              <w:rPr>
                <w:sz w:val="18"/>
              </w:rPr>
              <w:t>2</w:t>
            </w:r>
          </w:p>
        </w:tc>
        <w:tc>
          <w:tcPr>
            <w:tcW w:type="dxa" w:w="1881"/>
            <w:shd w:val="clear" w:color="auto" w:fill="EAF0FB"/>
          </w:tcPr>
          <w:p>
            <w:pPr>
              <w:jc w:val="left"/>
            </w:pPr>
            <w:r>
              <w:rPr>
                <w:sz w:val="18"/>
              </w:rPr>
              <w:t>Made</w:t>
            </w:r>
          </w:p>
        </w:tc>
        <w:tc>
          <w:tcPr>
            <w:tcW w:type="dxa" w:w="1881"/>
            <w:shd w:val="clear" w:color="auto" w:fill="EAF0FB"/>
          </w:tcPr>
          <w:p>
            <w:pPr>
              <w:jc w:val="center"/>
            </w:pPr>
            <w:r>
              <w:rPr>
                <w:sz w:val="18"/>
              </w:rPr>
              <w:t>WELLNESS RESIDENCES</w:t>
            </w:r>
          </w:p>
        </w:tc>
        <w:tc>
          <w:tcPr>
            <w:tcW w:type="dxa" w:w="1881"/>
            <w:shd w:val="clear" w:color="auto" w:fill="EAF0FB"/>
          </w:tcPr>
          <w:p>
            <w:pPr>
              <w:jc w:val="center"/>
            </w:pPr>
            <w:r>
              <w:rPr>
                <w:sz w:val="18"/>
              </w:rPr>
              <w:t>Parcelaciones y Condominios</w:t>
            </w:r>
          </w:p>
        </w:tc>
        <w:tc>
          <w:tcPr>
            <w:tcW w:type="dxa" w:w="1881"/>
            <w:shd w:val="clear" w:color="auto" w:fill="EAF0FB"/>
          </w:tcPr>
          <w:p>
            <w:pPr>
              <w:jc w:val="center"/>
            </w:pPr>
            <w:r>
              <w:rPr>
                <w:sz w:val="18"/>
              </w:rPr>
              <w:t>Diseño &amp; Visual</w:t>
            </w:r>
          </w:p>
        </w:tc>
      </w:tr>
      <w:tr>
        <w:tc>
          <w:tcPr>
            <w:tcW w:type="dxa" w:w="1881"/>
            <w:shd w:val="clear" w:color="auto" w:fill="FFFFFF"/>
          </w:tcPr>
          <w:p>
            <w:pPr>
              <w:jc w:val="left"/>
            </w:pPr>
            <w:r>
              <w:rPr>
                <w:sz w:val="18"/>
              </w:rPr>
              <w:t>3</w:t>
            </w:r>
          </w:p>
        </w:tc>
        <w:tc>
          <w:tcPr>
            <w:tcW w:type="dxa" w:w="1881"/>
            <w:shd w:val="clear" w:color="auto" w:fill="FFFFFF"/>
          </w:tcPr>
          <w:p>
            <w:pPr>
              <w:jc w:val="left"/>
            </w:pPr>
            <w:r>
              <w:rPr>
                <w:sz w:val="18"/>
              </w:rPr>
              <w:t>Made</w:t>
            </w:r>
          </w:p>
        </w:tc>
        <w:tc>
          <w:tcPr>
            <w:tcW w:type="dxa" w:w="1881"/>
            <w:shd w:val="clear" w:color="auto" w:fill="FFFFFF"/>
          </w:tcPr>
          <w:p>
            <w:pPr>
              <w:jc w:val="center"/>
            </w:pPr>
            <w:r>
              <w:rPr>
                <w:sz w:val="18"/>
              </w:rPr>
              <w:t>LA SENDA</w:t>
            </w:r>
          </w:p>
        </w:tc>
        <w:tc>
          <w:tcPr>
            <w:tcW w:type="dxa" w:w="1881"/>
            <w:shd w:val="clear" w:color="auto" w:fill="FFFFFF"/>
          </w:tcPr>
          <w:p>
            <w:pPr>
              <w:jc w:val="center"/>
            </w:pPr>
            <w:r>
              <w:rPr>
                <w:sz w:val="18"/>
              </w:rPr>
              <w:t>Parcelaciones y Condominios</w:t>
            </w:r>
          </w:p>
        </w:tc>
        <w:tc>
          <w:tcPr>
            <w:tcW w:type="dxa" w:w="1881"/>
            <w:shd w:val="clear" w:color="auto" w:fill="FFFFFF"/>
          </w:tcPr>
          <w:p>
            <w:pPr>
              <w:jc w:val="center"/>
            </w:pPr>
            <w:r>
              <w:rPr>
                <w:sz w:val="18"/>
              </w:rPr>
              <w:t>Diseño &amp; Visual</w:t>
            </w:r>
          </w:p>
        </w:tc>
      </w:tr>
      <w:tr>
        <w:tc>
          <w:tcPr>
            <w:tcW w:type="dxa" w:w="1881"/>
            <w:shd w:val="clear" w:color="auto" w:fill="EAF0FB"/>
          </w:tcPr>
          <w:p>
            <w:pPr>
              <w:jc w:val="left"/>
            </w:pPr>
            <w:r>
              <w:rPr>
                <w:sz w:val="18"/>
              </w:rPr>
              <w:t>4</w:t>
            </w:r>
          </w:p>
        </w:tc>
        <w:tc>
          <w:tcPr>
            <w:tcW w:type="dxa" w:w="1881"/>
            <w:shd w:val="clear" w:color="auto" w:fill="EAF0FB"/>
          </w:tcPr>
          <w:p>
            <w:pPr>
              <w:jc w:val="left"/>
            </w:pPr>
            <w:r>
              <w:rPr>
                <w:sz w:val="18"/>
              </w:rPr>
              <w:t>Made</w:t>
            </w:r>
          </w:p>
        </w:tc>
        <w:tc>
          <w:tcPr>
            <w:tcW w:type="dxa" w:w="1881"/>
            <w:shd w:val="clear" w:color="auto" w:fill="EAF0FB"/>
          </w:tcPr>
          <w:p>
            <w:pPr>
              <w:jc w:val="center"/>
            </w:pPr>
            <w:r>
              <w:rPr>
                <w:sz w:val="18"/>
              </w:rPr>
              <w:t>NATIVE SAN JOSÉ</w:t>
            </w:r>
          </w:p>
        </w:tc>
        <w:tc>
          <w:tcPr>
            <w:tcW w:type="dxa" w:w="1881"/>
            <w:shd w:val="clear" w:color="auto" w:fill="EAF0FB"/>
          </w:tcPr>
          <w:p>
            <w:pPr>
              <w:jc w:val="center"/>
            </w:pPr>
            <w:r>
              <w:rPr>
                <w:sz w:val="18"/>
              </w:rPr>
              <w:t>Parcelaciones y Condominios</w:t>
            </w:r>
          </w:p>
        </w:tc>
        <w:tc>
          <w:tcPr>
            <w:tcW w:type="dxa" w:w="1881"/>
            <w:shd w:val="clear" w:color="auto" w:fill="EAF0FB"/>
          </w:tcPr>
          <w:p>
            <w:pPr>
              <w:jc w:val="center"/>
            </w:pPr>
            <w:r>
              <w:rPr>
                <w:sz w:val="18"/>
              </w:rPr>
              <w:t>Diseño &amp; Visual</w:t>
            </w:r>
          </w:p>
        </w:tc>
      </w:tr>
      <w:tr>
        <w:tc>
          <w:tcPr>
            <w:tcW w:type="dxa" w:w="1881"/>
            <w:shd w:val="clear" w:color="auto" w:fill="FFFFFF"/>
          </w:tcPr>
          <w:p>
            <w:pPr>
              <w:jc w:val="left"/>
            </w:pPr>
            <w:r>
              <w:rPr>
                <w:sz w:val="18"/>
              </w:rPr>
              <w:t>5</w:t>
            </w:r>
          </w:p>
        </w:tc>
        <w:tc>
          <w:tcPr>
            <w:tcW w:type="dxa" w:w="1881"/>
            <w:shd w:val="clear" w:color="auto" w:fill="FFFFFF"/>
          </w:tcPr>
          <w:p>
            <w:pPr>
              <w:jc w:val="left"/>
            </w:pPr>
            <w:r>
              <w:rPr>
                <w:sz w:val="18"/>
              </w:rPr>
              <w:t>Made</w:t>
            </w:r>
          </w:p>
        </w:tc>
        <w:tc>
          <w:tcPr>
            <w:tcW w:type="dxa" w:w="1881"/>
            <w:shd w:val="clear" w:color="auto" w:fill="FFFFFF"/>
          </w:tcPr>
          <w:p>
            <w:pPr>
              <w:jc w:val="center"/>
            </w:pPr>
            <w:r>
              <w:rPr>
                <w:sz w:val="18"/>
              </w:rPr>
              <w:t>DON MATIAS</w:t>
            </w:r>
          </w:p>
        </w:tc>
        <w:tc>
          <w:tcPr>
            <w:tcW w:type="dxa" w:w="1881"/>
            <w:shd w:val="clear" w:color="auto" w:fill="FFFFFF"/>
          </w:tcPr>
          <w:p>
            <w:pPr>
              <w:jc w:val="center"/>
            </w:pPr>
            <w:r>
              <w:rPr>
                <w:sz w:val="18"/>
              </w:rPr>
              <w:t>Parcelaciones y Condominios</w:t>
            </w:r>
          </w:p>
        </w:tc>
        <w:tc>
          <w:tcPr>
            <w:tcW w:type="dxa" w:w="1881"/>
            <w:shd w:val="clear" w:color="auto" w:fill="FFFFFF"/>
          </w:tcPr>
          <w:p>
            <w:pPr>
              <w:jc w:val="center"/>
            </w:pPr>
            <w:r>
              <w:rPr>
                <w:sz w:val="18"/>
              </w:rPr>
              <w:t>Diseño</w:t>
            </w:r>
          </w:p>
        </w:tc>
      </w:tr>
      <w:tr>
        <w:tc>
          <w:tcPr>
            <w:tcW w:type="dxa" w:w="1881"/>
            <w:shd w:val="clear" w:color="auto" w:fill="EAF0FB"/>
          </w:tcPr>
          <w:p>
            <w:pPr>
              <w:jc w:val="left"/>
            </w:pPr>
            <w:r>
              <w:rPr>
                <w:sz w:val="18"/>
              </w:rPr>
              <w:t>6</w:t>
            </w:r>
          </w:p>
        </w:tc>
        <w:tc>
          <w:tcPr>
            <w:tcW w:type="dxa" w:w="1881"/>
            <w:shd w:val="clear" w:color="auto" w:fill="EAF0FB"/>
          </w:tcPr>
          <w:p>
            <w:pPr>
              <w:jc w:val="left"/>
            </w:pPr>
            <w:r>
              <w:rPr>
                <w:sz w:val="18"/>
              </w:rPr>
              <w:t>Made</w:t>
            </w:r>
          </w:p>
        </w:tc>
        <w:tc>
          <w:tcPr>
            <w:tcW w:type="dxa" w:w="1881"/>
            <w:shd w:val="clear" w:color="auto" w:fill="EAF0FB"/>
          </w:tcPr>
          <w:p>
            <w:pPr>
              <w:jc w:val="center"/>
            </w:pPr>
            <w:r>
              <w:rPr>
                <w:sz w:val="18"/>
              </w:rPr>
              <w:t>CASA RODINA</w:t>
            </w:r>
          </w:p>
        </w:tc>
        <w:tc>
          <w:tcPr>
            <w:tcW w:type="dxa" w:w="1881"/>
            <w:shd w:val="clear" w:color="auto" w:fill="EAF0FB"/>
          </w:tcPr>
          <w:p>
            <w:pPr>
              <w:jc w:val="center"/>
            </w:pPr>
            <w:r>
              <w:rPr>
                <w:sz w:val="18"/>
              </w:rPr>
              <w:t>Vivienda Campestre</w:t>
            </w:r>
          </w:p>
        </w:tc>
        <w:tc>
          <w:tcPr>
            <w:tcW w:type="dxa" w:w="1881"/>
            <w:shd w:val="clear" w:color="auto" w:fill="EAF0FB"/>
          </w:tcPr>
          <w:p>
            <w:pPr>
              <w:jc w:val="center"/>
            </w:pPr>
            <w:r>
              <w:rPr>
                <w:sz w:val="18"/>
              </w:rPr>
              <w:t>Diseño &amp; Visual</w:t>
            </w:r>
          </w:p>
        </w:tc>
      </w:tr>
      <w:tr>
        <w:tc>
          <w:tcPr>
            <w:tcW w:type="dxa" w:w="1881"/>
            <w:shd w:val="clear" w:color="auto" w:fill="FFFFFF"/>
          </w:tcPr>
          <w:p>
            <w:pPr>
              <w:jc w:val="left"/>
            </w:pPr>
            <w:r>
              <w:rPr>
                <w:sz w:val="18"/>
              </w:rPr>
              <w:t>7</w:t>
            </w:r>
          </w:p>
        </w:tc>
        <w:tc>
          <w:tcPr>
            <w:tcW w:type="dxa" w:w="1881"/>
            <w:shd w:val="clear" w:color="auto" w:fill="FFFFFF"/>
          </w:tcPr>
          <w:p>
            <w:pPr>
              <w:jc w:val="left"/>
            </w:pPr>
            <w:r>
              <w:rPr>
                <w:sz w:val="18"/>
              </w:rPr>
              <w:t>Made</w:t>
            </w:r>
          </w:p>
        </w:tc>
        <w:tc>
          <w:tcPr>
            <w:tcW w:type="dxa" w:w="1881"/>
            <w:shd w:val="clear" w:color="auto" w:fill="FFFFFF"/>
          </w:tcPr>
          <w:p>
            <w:pPr>
              <w:jc w:val="center"/>
            </w:pPr>
            <w:r>
              <w:rPr>
                <w:sz w:val="18"/>
              </w:rPr>
              <w:t>CASA ESCULTA</w:t>
            </w:r>
          </w:p>
        </w:tc>
        <w:tc>
          <w:tcPr>
            <w:tcW w:type="dxa" w:w="1881"/>
            <w:shd w:val="clear" w:color="auto" w:fill="FFFFFF"/>
          </w:tcPr>
          <w:p>
            <w:pPr>
              <w:jc w:val="center"/>
            </w:pPr>
            <w:r>
              <w:rPr>
                <w:sz w:val="18"/>
              </w:rPr>
              <w:t>Vivienda Campestre</w:t>
            </w:r>
          </w:p>
        </w:tc>
        <w:tc>
          <w:tcPr>
            <w:tcW w:type="dxa" w:w="1881"/>
            <w:shd w:val="clear" w:color="auto" w:fill="FFFFFF"/>
          </w:tcPr>
          <w:p>
            <w:pPr>
              <w:jc w:val="center"/>
            </w:pPr>
            <w:r>
              <w:rPr>
                <w:sz w:val="18"/>
              </w:rPr>
              <w:t>Diseño &amp; Visual</w:t>
            </w:r>
          </w:p>
        </w:tc>
      </w:tr>
      <w:tr>
        <w:tc>
          <w:tcPr>
            <w:tcW w:type="dxa" w:w="1881"/>
            <w:shd w:val="clear" w:color="auto" w:fill="EAF0FB"/>
          </w:tcPr>
          <w:p>
            <w:pPr>
              <w:jc w:val="left"/>
            </w:pPr>
            <w:r>
              <w:rPr>
                <w:sz w:val="18"/>
              </w:rPr>
              <w:t>8</w:t>
            </w:r>
          </w:p>
        </w:tc>
        <w:tc>
          <w:tcPr>
            <w:tcW w:type="dxa" w:w="1881"/>
            <w:shd w:val="clear" w:color="auto" w:fill="EAF0FB"/>
          </w:tcPr>
          <w:p>
            <w:pPr>
              <w:jc w:val="left"/>
            </w:pPr>
            <w:r>
              <w:rPr>
                <w:sz w:val="18"/>
              </w:rPr>
              <w:t>Select</w:t>
            </w:r>
          </w:p>
        </w:tc>
        <w:tc>
          <w:tcPr>
            <w:tcW w:type="dxa" w:w="1881"/>
            <w:shd w:val="clear" w:color="auto" w:fill="EAF0FB"/>
          </w:tcPr>
          <w:p>
            <w:pPr>
              <w:jc w:val="center"/>
            </w:pPr>
            <w:r>
              <w:rPr>
                <w:sz w:val="18"/>
              </w:rPr>
              <w:t>CASA DIANA &amp; HERIBERTO</w:t>
            </w:r>
          </w:p>
        </w:tc>
        <w:tc>
          <w:tcPr>
            <w:tcW w:type="dxa" w:w="1881"/>
            <w:shd w:val="clear" w:color="auto" w:fill="EAF0FB"/>
          </w:tcPr>
          <w:p>
            <w:pPr>
              <w:jc w:val="center"/>
            </w:pPr>
            <w:r>
              <w:rPr>
                <w:sz w:val="18"/>
              </w:rPr>
              <w:t>Vivienda Campestre</w:t>
            </w:r>
          </w:p>
        </w:tc>
        <w:tc>
          <w:tcPr>
            <w:tcW w:type="dxa" w:w="1881"/>
            <w:shd w:val="clear" w:color="auto" w:fill="EAF0FB"/>
          </w:tcPr>
          <w:p>
            <w:pPr>
              <w:jc w:val="center"/>
            </w:pPr>
            <w:r>
              <w:rPr>
                <w:sz w:val="18"/>
              </w:rPr>
              <w:t>Diseño &amp; Visual</w:t>
            </w:r>
          </w:p>
        </w:tc>
      </w:tr>
      <w:tr>
        <w:tc>
          <w:tcPr>
            <w:tcW w:type="dxa" w:w="1881"/>
            <w:shd w:val="clear" w:color="auto" w:fill="FFFFFF"/>
          </w:tcPr>
          <w:p>
            <w:pPr>
              <w:jc w:val="left"/>
            </w:pPr>
            <w:r>
              <w:rPr>
                <w:sz w:val="18"/>
              </w:rPr>
              <w:t>9</w:t>
            </w:r>
          </w:p>
        </w:tc>
        <w:tc>
          <w:tcPr>
            <w:tcW w:type="dxa" w:w="1881"/>
            <w:shd w:val="clear" w:color="auto" w:fill="FFFFFF"/>
          </w:tcPr>
          <w:p>
            <w:pPr>
              <w:jc w:val="left"/>
            </w:pPr>
            <w:r>
              <w:rPr>
                <w:sz w:val="18"/>
              </w:rPr>
              <w:t>Select</w:t>
            </w:r>
          </w:p>
        </w:tc>
        <w:tc>
          <w:tcPr>
            <w:tcW w:type="dxa" w:w="1881"/>
            <w:shd w:val="clear" w:color="auto" w:fill="FFFFFF"/>
          </w:tcPr>
          <w:p>
            <w:pPr>
              <w:jc w:val="center"/>
            </w:pPr>
            <w:r>
              <w:rPr>
                <w:sz w:val="18"/>
              </w:rPr>
              <w:t>CASA ADRIANA MOCCIOLA &amp; FELIPE</w:t>
            </w:r>
          </w:p>
        </w:tc>
        <w:tc>
          <w:tcPr>
            <w:tcW w:type="dxa" w:w="1881"/>
            <w:shd w:val="clear" w:color="auto" w:fill="FFFFFF"/>
          </w:tcPr>
          <w:p>
            <w:pPr>
              <w:jc w:val="center"/>
            </w:pPr>
            <w:r>
              <w:rPr>
                <w:sz w:val="18"/>
              </w:rPr>
              <w:t>Vivienda Campestre</w:t>
            </w:r>
          </w:p>
        </w:tc>
        <w:tc>
          <w:tcPr>
            <w:tcW w:type="dxa" w:w="1881"/>
            <w:shd w:val="clear" w:color="auto" w:fill="FFFFFF"/>
          </w:tcPr>
          <w:p>
            <w:pPr>
              <w:jc w:val="center"/>
            </w:pPr>
            <w:r>
              <w:rPr>
                <w:sz w:val="18"/>
              </w:rPr>
              <w:t>Diseño &amp; Visual</w:t>
            </w:r>
          </w:p>
        </w:tc>
      </w:tr>
      <w:tr>
        <w:tc>
          <w:tcPr>
            <w:tcW w:type="dxa" w:w="1881"/>
            <w:shd w:val="clear" w:color="auto" w:fill="EAF0FB"/>
          </w:tcPr>
          <w:p>
            <w:pPr>
              <w:jc w:val="left"/>
            </w:pPr>
            <w:r>
              <w:rPr>
                <w:sz w:val="18"/>
              </w:rPr>
              <w:t>10</w:t>
            </w:r>
          </w:p>
        </w:tc>
        <w:tc>
          <w:tcPr>
            <w:tcW w:type="dxa" w:w="1881"/>
            <w:shd w:val="clear" w:color="auto" w:fill="EAF0FB"/>
          </w:tcPr>
          <w:p>
            <w:pPr>
              <w:jc w:val="left"/>
            </w:pPr>
            <w:r>
              <w:rPr>
                <w:sz w:val="18"/>
              </w:rPr>
              <w:t>Select</w:t>
            </w:r>
          </w:p>
        </w:tc>
        <w:tc>
          <w:tcPr>
            <w:tcW w:type="dxa" w:w="1881"/>
            <w:shd w:val="clear" w:color="auto" w:fill="EAF0FB"/>
          </w:tcPr>
          <w:p>
            <w:pPr>
              <w:jc w:val="center"/>
            </w:pPr>
            <w:r>
              <w:rPr>
                <w:sz w:val="18"/>
              </w:rPr>
              <w:t>CASA CARLOS &amp; YOHANA</w:t>
            </w:r>
          </w:p>
        </w:tc>
        <w:tc>
          <w:tcPr>
            <w:tcW w:type="dxa" w:w="1881"/>
            <w:shd w:val="clear" w:color="auto" w:fill="EAF0FB"/>
          </w:tcPr>
          <w:p>
            <w:pPr>
              <w:jc w:val="center"/>
            </w:pPr>
            <w:r>
              <w:rPr>
                <w:sz w:val="18"/>
              </w:rPr>
              <w:t>Vivienda Campestre</w:t>
            </w:r>
          </w:p>
        </w:tc>
        <w:tc>
          <w:tcPr>
            <w:tcW w:type="dxa" w:w="1881"/>
            <w:shd w:val="clear" w:color="auto" w:fill="EAF0FB"/>
          </w:tcPr>
          <w:p>
            <w:pPr>
              <w:jc w:val="center"/>
            </w:pPr>
            <w:r>
              <w:rPr>
                <w:sz w:val="18"/>
              </w:rPr>
              <w:t>Diseño &amp; Visual</w:t>
            </w:r>
          </w:p>
        </w:tc>
      </w:tr>
      <w:tr>
        <w:tc>
          <w:tcPr>
            <w:tcW w:type="dxa" w:w="1881"/>
            <w:shd w:val="clear" w:color="auto" w:fill="FFFFFF"/>
          </w:tcPr>
          <w:p>
            <w:pPr>
              <w:jc w:val="left"/>
            </w:pPr>
            <w:r>
              <w:rPr>
                <w:sz w:val="18"/>
              </w:rPr>
              <w:t>11</w:t>
            </w:r>
          </w:p>
        </w:tc>
        <w:tc>
          <w:tcPr>
            <w:tcW w:type="dxa" w:w="1881"/>
            <w:shd w:val="clear" w:color="auto" w:fill="FFFFFF"/>
          </w:tcPr>
          <w:p>
            <w:pPr>
              <w:jc w:val="left"/>
            </w:pPr>
            <w:r>
              <w:rPr>
                <w:sz w:val="18"/>
              </w:rPr>
              <w:t>Select</w:t>
            </w:r>
          </w:p>
        </w:tc>
        <w:tc>
          <w:tcPr>
            <w:tcW w:type="dxa" w:w="1881"/>
            <w:shd w:val="clear" w:color="auto" w:fill="FFFFFF"/>
          </w:tcPr>
          <w:p>
            <w:pPr>
              <w:jc w:val="center"/>
            </w:pPr>
            <w:r>
              <w:rPr>
                <w:sz w:val="18"/>
              </w:rPr>
              <w:t>CASA CARMEN &amp; TONY</w:t>
            </w:r>
          </w:p>
        </w:tc>
        <w:tc>
          <w:tcPr>
            <w:tcW w:type="dxa" w:w="1881"/>
            <w:shd w:val="clear" w:color="auto" w:fill="FFFFFF"/>
          </w:tcPr>
          <w:p>
            <w:pPr>
              <w:jc w:val="center"/>
            </w:pPr>
            <w:r>
              <w:rPr>
                <w:sz w:val="18"/>
              </w:rPr>
              <w:t>Vivienda Campestre</w:t>
            </w:r>
          </w:p>
        </w:tc>
        <w:tc>
          <w:tcPr>
            <w:tcW w:type="dxa" w:w="1881"/>
            <w:shd w:val="clear" w:color="auto" w:fill="FFFFFF"/>
          </w:tcPr>
          <w:p>
            <w:pPr>
              <w:jc w:val="center"/>
            </w:pPr>
            <w:r>
              <w:rPr>
                <w:sz w:val="18"/>
              </w:rPr>
              <w:t>Diseño &amp; Visual</w:t>
            </w:r>
          </w:p>
        </w:tc>
      </w:tr>
      <w:tr>
        <w:tc>
          <w:tcPr>
            <w:tcW w:type="dxa" w:w="1881"/>
            <w:shd w:val="clear" w:color="auto" w:fill="EAF0FB"/>
          </w:tcPr>
          <w:p>
            <w:pPr>
              <w:jc w:val="left"/>
            </w:pPr>
            <w:r>
              <w:rPr>
                <w:sz w:val="18"/>
              </w:rPr>
              <w:t>12</w:t>
            </w:r>
          </w:p>
        </w:tc>
        <w:tc>
          <w:tcPr>
            <w:tcW w:type="dxa" w:w="1881"/>
            <w:shd w:val="clear" w:color="auto" w:fill="EAF0FB"/>
          </w:tcPr>
          <w:p>
            <w:pPr>
              <w:jc w:val="left"/>
            </w:pPr>
            <w:r>
              <w:rPr>
                <w:sz w:val="18"/>
              </w:rPr>
              <w:t>Select</w:t>
            </w:r>
          </w:p>
        </w:tc>
        <w:tc>
          <w:tcPr>
            <w:tcW w:type="dxa" w:w="1881"/>
            <w:shd w:val="clear" w:color="auto" w:fill="EAF0FB"/>
          </w:tcPr>
          <w:p>
            <w:pPr>
              <w:jc w:val="center"/>
            </w:pPr>
            <w:r>
              <w:rPr>
                <w:sz w:val="18"/>
              </w:rPr>
              <w:t>CASA MAURICIO MARTINEZ</w:t>
            </w:r>
          </w:p>
        </w:tc>
        <w:tc>
          <w:tcPr>
            <w:tcW w:type="dxa" w:w="1881"/>
            <w:shd w:val="clear" w:color="auto" w:fill="EAF0FB"/>
          </w:tcPr>
          <w:p>
            <w:pPr>
              <w:jc w:val="center"/>
            </w:pPr>
            <w:r>
              <w:rPr>
                <w:sz w:val="18"/>
              </w:rPr>
              <w:t>Vivienda Campestre</w:t>
            </w:r>
          </w:p>
        </w:tc>
        <w:tc>
          <w:tcPr>
            <w:tcW w:type="dxa" w:w="1881"/>
            <w:shd w:val="clear" w:color="auto" w:fill="EAF0FB"/>
          </w:tcPr>
          <w:p>
            <w:pPr>
              <w:jc w:val="center"/>
            </w:pPr>
            <w:r>
              <w:rPr>
                <w:sz w:val="18"/>
              </w:rPr>
              <w:t>Diseño &amp; Visual</w:t>
            </w:r>
          </w:p>
        </w:tc>
      </w:tr>
      <w:tr>
        <w:tc>
          <w:tcPr>
            <w:tcW w:type="dxa" w:w="1881"/>
            <w:shd w:val="clear" w:color="auto" w:fill="FFFFFF"/>
          </w:tcPr>
          <w:p>
            <w:pPr>
              <w:jc w:val="left"/>
            </w:pPr>
            <w:r>
              <w:rPr>
                <w:sz w:val="18"/>
              </w:rPr>
              <w:t>13</w:t>
            </w:r>
          </w:p>
        </w:tc>
        <w:tc>
          <w:tcPr>
            <w:tcW w:type="dxa" w:w="1881"/>
            <w:shd w:val="clear" w:color="auto" w:fill="FFFFFF"/>
          </w:tcPr>
          <w:p>
            <w:pPr>
              <w:jc w:val="left"/>
            </w:pPr>
            <w:r>
              <w:rPr>
                <w:sz w:val="18"/>
              </w:rPr>
              <w:t>Select</w:t>
            </w:r>
          </w:p>
        </w:tc>
        <w:tc>
          <w:tcPr>
            <w:tcW w:type="dxa" w:w="1881"/>
            <w:shd w:val="clear" w:color="auto" w:fill="FFFFFF"/>
          </w:tcPr>
          <w:p>
            <w:pPr>
              <w:jc w:val="center"/>
            </w:pPr>
            <w:r>
              <w:rPr>
                <w:sz w:val="18"/>
              </w:rPr>
              <w:t>CASA FELIPE SALDARRIAGA</w:t>
            </w:r>
          </w:p>
        </w:tc>
        <w:tc>
          <w:tcPr>
            <w:tcW w:type="dxa" w:w="1881"/>
            <w:shd w:val="clear" w:color="auto" w:fill="FFFFFF"/>
          </w:tcPr>
          <w:p>
            <w:pPr>
              <w:jc w:val="center"/>
            </w:pPr>
            <w:r>
              <w:rPr>
                <w:sz w:val="18"/>
              </w:rPr>
              <w:t>Vivienda Campestre</w:t>
            </w:r>
          </w:p>
        </w:tc>
        <w:tc>
          <w:tcPr>
            <w:tcW w:type="dxa" w:w="1881"/>
            <w:shd w:val="clear" w:color="auto" w:fill="FFFFFF"/>
          </w:tcPr>
          <w:p>
            <w:pPr>
              <w:jc w:val="center"/>
            </w:pPr>
            <w:r>
              <w:rPr>
                <w:sz w:val="18"/>
              </w:rPr>
              <w:t>Diseño &amp; Visual</w:t>
            </w:r>
          </w:p>
        </w:tc>
      </w:tr>
    </w:tbl>
    <w:p>
      <w:pPr>
        <w:spacing w:before="0" w:after="160"/>
      </w:pPr>
    </w:p>
    <w:p>
      <w:r>
        <w:br w:type="page"/>
      </w:r>
    </w:p>
    <w:tbl>
      <w:tblPr>
        <w:tblStyle w:val="TableGrid"/>
        <w:tblW w:type="auto" w:w="0"/>
        <w:jc w:val="left"/>
        <w:tblLook w:firstColumn="1" w:firstRow="1" w:lastColumn="0" w:lastRow="0" w:noHBand="0" w:noVBand="1" w:val="04A0"/>
      </w:tblPr>
      <w:tblGrid>
        <w:gridCol w:w="7370"/>
        <w:gridCol w:w="2268"/>
      </w:tblGrid>
      <w:tr>
        <w:trPr>
          <w:trHeight w:val="425"/>
        </w:trPr>
        <w:tc>
          <w:tcPr>
            <w:tcW w:type="dxa" w:w="4703"/>
            <w:shd w:val="clear" w:color="auto" w:fill="C0392B"/>
          </w:tcPr>
          <w:p>
            <w:pPr>
              <w:jc w:val="left"/>
            </w:pPr>
            <w:r>
              <w:rPr>
                <w:b/>
                <w:color w:val="FFFFFF"/>
                <w:sz w:val="24"/>
              </w:rPr>
              <w:t xml:space="preserve">  IPT-1  —  Reducción de Tiempo que No Agrega Valor en el proceso de gestión de proyectos (TNVA)</w:t>
            </w:r>
          </w:p>
        </w:tc>
        <w:tc>
          <w:tcPr>
            <w:tcW w:type="dxa" w:w="4703"/>
            <w:shd w:val="clear" w:color="auto" w:fill="C0392B"/>
          </w:tcPr>
          <w:p>
            <w:pPr>
              <w:jc w:val="right"/>
            </w:pPr>
            <w:r>
              <w:rPr>
                <w:color w:val="FFFFFF"/>
                <w:sz w:val="18"/>
              </w:rPr>
              <w:t xml:space="preserve">[ Fijo ]  </w:t>
            </w:r>
          </w:p>
        </w:tc>
      </w:tr>
    </w:tbl>
    <w:p>
      <w:pPr>
        <w:spacing w:before="0" w:after="120"/>
      </w:pPr>
    </w:p>
    <w:p>
      <w:pPr>
        <w:spacing w:after="80"/>
        <w:jc w:val="left"/>
        <w:pBdr>
          <w:bottom w:val="single" w:sz="6" w:space="1" w:color="1a3a5c"/>
        </w:pBdr>
      </w:pPr>
      <w:r>
        <w:rPr>
          <w:b/>
          <w:color w:val="1A3A5C"/>
          <w:sz w:val="26"/>
        </w:rPr>
        <w:t>1. Nombre del Indicador</w:t>
      </w:r>
    </w:p>
    <w:p>
      <w:pPr>
        <w:spacing w:after="80"/>
        <w:ind w:left="283"/>
      </w:pPr>
      <w:r>
        <w:rPr>
          <w:b/>
          <w:i w:val="0"/>
          <w:color w:val="1A3A5C"/>
          <w:sz w:val="22"/>
          <w:u w:val="none"/>
        </w:rPr>
        <w:t>Reducción de Tiempo que No Agrega Valor en el proceso de gestión de proyectos (TNVA)</w:t>
      </w:r>
    </w:p>
    <w:p>
      <w:pPr>
        <w:spacing w:before="0" w:after="80"/>
      </w:pPr>
    </w:p>
    <w:p>
      <w:pPr>
        <w:spacing w:after="80"/>
        <w:jc w:val="left"/>
        <w:pBdr>
          <w:bottom w:val="single" w:sz="6" w:space="1" w:color="1a3a5c"/>
        </w:pBdr>
      </w:pPr>
      <w:r>
        <w:rPr>
          <w:b/>
          <w:color w:val="1A3A5C"/>
          <w:sz w:val="26"/>
        </w:rPr>
        <w:t>2. Cálculo de la Medición</w:t>
      </w:r>
    </w:p>
    <w:p>
      <w:pPr>
        <w:spacing w:before="20" w:after="20"/>
        <w:ind w:left="283"/>
      </w:pPr>
      <w:r>
        <w:rPr>
          <w:b w:val="0"/>
          <w:i w:val="0"/>
          <w:sz w:val="20"/>
          <w:u w:val="none"/>
        </w:rPr>
        <w:t>Mediante VSM se clasificaron las actividades del proceso de gestión de proyectos (13 activos) en VA y NVA. Se midió la frecuencia y duración de cada actividad NVA en una semana tipo de marzo 2026:</w:t>
      </w:r>
    </w:p>
    <w:p>
      <w:pPr>
        <w:spacing w:before="20" w:after="20"/>
        <w:ind w:left="283"/>
      </w:pPr>
      <w:r>
        <w:rPr>
          <w:b w:val="0"/>
          <w:i w:val="0"/>
          <w:sz w:val="20"/>
          <w:u w:val="none"/>
        </w:rPr>
      </w:r>
    </w:p>
    <w:p>
      <w:pPr>
        <w:spacing w:before="20" w:after="20"/>
        <w:ind w:left="283"/>
      </w:pPr>
      <w:r>
        <w:rPr>
          <w:b w:val="0"/>
          <w:i w:val="0"/>
          <w:sz w:val="20"/>
          <w:u w:val="none"/>
        </w:rPr>
        <w:t>NVA 1 – Transcripción manual de datos a tabla para dummies: 3x/sem × 25 min = 75 min.</w:t>
      </w:r>
    </w:p>
    <w:p>
      <w:pPr>
        <w:spacing w:before="20" w:after="20"/>
        <w:ind w:left="283"/>
      </w:pPr>
      <w:r>
        <w:rPr>
          <w:b w:val="0"/>
          <w:i w:val="0"/>
          <w:sz w:val="20"/>
          <w:u w:val="none"/>
        </w:rPr>
        <w:t>NVA 2 – Transferencia de datos tabla para dummies a tabla gruesa: 2x/sem × 20 min = 40 min.</w:t>
      </w:r>
    </w:p>
    <w:p>
      <w:pPr>
        <w:spacing w:before="20" w:after="20"/>
        <w:ind w:left="283"/>
      </w:pPr>
      <w:r>
        <w:rPr>
          <w:b w:val="0"/>
          <w:i w:val="0"/>
          <w:sz w:val="20"/>
          <w:u w:val="none"/>
        </w:rPr>
        <w:t>NVA 3 – Alimentación de dashboards desde tabla gruesa: 1x/sem × 30 min = 30 min.</w:t>
      </w:r>
    </w:p>
    <w:p>
      <w:pPr>
        <w:spacing w:before="20" w:after="20"/>
        <w:ind w:left="283"/>
      </w:pPr>
      <w:r>
        <w:rPr>
          <w:b w:val="0"/>
          <w:i w:val="0"/>
          <w:sz w:val="20"/>
          <w:u w:val="none"/>
        </w:rPr>
        <w:t>NVA 4 – Búsqueda de información dispersa (Drive, Monday, Sheets, correo): 5x/sem × 20 min = 100 min.</w:t>
      </w:r>
    </w:p>
    <w:p>
      <w:pPr>
        <w:spacing w:before="20" w:after="20"/>
        <w:ind w:left="283"/>
      </w:pPr>
      <w:r>
        <w:rPr>
          <w:b w:val="0"/>
          <w:i w:val="0"/>
          <w:sz w:val="20"/>
          <w:u w:val="none"/>
        </w:rPr>
        <w:t>NVA 5 – Consolidación manual del reporte ejecutivo semanal: 1x/sem × 45 min = 45 min.</w:t>
      </w:r>
    </w:p>
    <w:p>
      <w:pPr>
        <w:spacing w:before="20" w:after="20"/>
        <w:ind w:left="283"/>
      </w:pPr>
      <w:r>
        <w:rPr>
          <w:b w:val="0"/>
          <w:i w:val="0"/>
          <w:sz w:val="20"/>
          <w:u w:val="none"/>
        </w:rPr>
        <w:t>NVA 6 – Actualización manual de cronogramas en Google Sheets: 2x/sem × 15 min = 30 min.</w:t>
      </w:r>
    </w:p>
    <w:p>
      <w:pPr>
        <w:spacing w:before="20" w:after="20"/>
        <w:ind w:left="283"/>
      </w:pPr>
      <w:r>
        <w:rPr>
          <w:b w:val="0"/>
          <w:i w:val="0"/>
          <w:sz w:val="20"/>
          <w:u w:val="none"/>
        </w:rPr>
        <w:t>NVA 7 – Reconciliación de costos reales vs. presupuestados: 1x/sem × 30 min = 30 min.</w:t>
      </w:r>
    </w:p>
    <w:p>
      <w:pPr>
        <w:spacing w:before="20" w:after="20"/>
        <w:ind w:left="283"/>
      </w:pPr>
      <w:r>
        <w:rPr>
          <w:b w:val="0"/>
          <w:i w:val="0"/>
          <w:sz w:val="20"/>
          <w:u w:val="none"/>
        </w:rPr>
      </w:r>
    </w:p>
    <w:p>
      <w:pPr>
        <w:spacing w:before="20" w:after="20"/>
        <w:ind w:left="283"/>
      </w:pPr>
      <w:r>
        <w:rPr>
          <w:b w:val="0"/>
          <w:i w:val="0"/>
          <w:sz w:val="20"/>
          <w:u w:val="none"/>
        </w:rPr>
        <w:t>TNVA = 75 + 40 + 30 + 100 + 45 + 30 + 30 = 350 min/semana (línea base, marzo 2026).</w:t>
      </w:r>
    </w:p>
    <w:p>
      <w:pPr>
        <w:spacing w:before="20" w:after="20"/>
        <w:ind w:left="283"/>
      </w:pPr>
      <w:r>
        <w:rPr>
          <w:b w:val="0"/>
          <w:i w:val="0"/>
          <w:sz w:val="20"/>
          <w:u w:val="none"/>
        </w:rPr>
        <w:t>Meta: 350 × 0,70 = 245 min/semana (−30 %).</w:t>
      </w:r>
    </w:p>
    <w:p>
      <w:pPr>
        <w:spacing w:before="0" w:after="80"/>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C0392B"/>
          </w:tcPr>
          <w:p>
            <w:pPr>
              <w:jc w:val="center"/>
            </w:pPr>
            <w:r>
              <w:rPr>
                <w:b/>
                <w:color w:val="FFFFFF"/>
                <w:sz w:val="18"/>
              </w:rPr>
              <w:t>Actividad NVA</w:t>
            </w:r>
          </w:p>
        </w:tc>
        <w:tc>
          <w:tcPr>
            <w:tcW w:type="dxa" w:w="2351"/>
            <w:shd w:val="clear" w:color="auto" w:fill="C0392B"/>
          </w:tcPr>
          <w:p>
            <w:pPr>
              <w:jc w:val="center"/>
            </w:pPr>
            <w:r>
              <w:rPr>
                <w:b/>
                <w:color w:val="FFFFFF"/>
                <w:sz w:val="18"/>
              </w:rPr>
              <w:t>Descripción</w:t>
            </w:r>
          </w:p>
        </w:tc>
        <w:tc>
          <w:tcPr>
            <w:tcW w:type="dxa" w:w="2351"/>
            <w:shd w:val="clear" w:color="auto" w:fill="C0392B"/>
          </w:tcPr>
          <w:p>
            <w:pPr>
              <w:jc w:val="center"/>
            </w:pPr>
            <w:r>
              <w:rPr>
                <w:b/>
                <w:color w:val="FFFFFF"/>
                <w:sz w:val="18"/>
              </w:rPr>
              <w:t>Cálculo</w:t>
            </w:r>
          </w:p>
        </w:tc>
        <w:tc>
          <w:tcPr>
            <w:tcW w:type="dxa" w:w="2351"/>
            <w:shd w:val="clear" w:color="auto" w:fill="C0392B"/>
          </w:tcPr>
          <w:p>
            <w:pPr>
              <w:jc w:val="center"/>
            </w:pPr>
            <w:r>
              <w:rPr>
                <w:b/>
                <w:color w:val="FFFFFF"/>
                <w:sz w:val="18"/>
              </w:rPr>
              <w:t>Total (min/sem)</w:t>
            </w:r>
          </w:p>
        </w:tc>
      </w:tr>
      <w:tr>
        <w:tc>
          <w:tcPr>
            <w:tcW w:type="dxa" w:w="2351"/>
            <w:shd w:val="clear" w:color="auto" w:fill="FFFFFF"/>
          </w:tcPr>
          <w:p>
            <w:pPr>
              <w:jc w:val="left"/>
            </w:pPr>
            <w:r>
              <w:rPr>
                <w:sz w:val="18"/>
              </w:rPr>
              <w:t>NVA 1</w:t>
            </w:r>
          </w:p>
        </w:tc>
        <w:tc>
          <w:tcPr>
            <w:tcW w:type="dxa" w:w="2351"/>
            <w:shd w:val="clear" w:color="auto" w:fill="FFFFFF"/>
          </w:tcPr>
          <w:p>
            <w:pPr>
              <w:jc w:val="left"/>
            </w:pPr>
            <w:r>
              <w:rPr>
                <w:sz w:val="18"/>
              </w:rPr>
              <w:t>Transcripción manual a tabla para dummies</w:t>
            </w:r>
          </w:p>
        </w:tc>
        <w:tc>
          <w:tcPr>
            <w:tcW w:type="dxa" w:w="2351"/>
            <w:shd w:val="clear" w:color="auto" w:fill="FFFFFF"/>
          </w:tcPr>
          <w:p>
            <w:pPr>
              <w:jc w:val="center"/>
            </w:pPr>
            <w:r>
              <w:rPr>
                <w:sz w:val="18"/>
              </w:rPr>
              <w:t>3x/sem × 25 min</w:t>
            </w:r>
          </w:p>
        </w:tc>
        <w:tc>
          <w:tcPr>
            <w:tcW w:type="dxa" w:w="2351"/>
            <w:shd w:val="clear" w:color="auto" w:fill="FFFFFF"/>
          </w:tcPr>
          <w:p>
            <w:pPr>
              <w:jc w:val="center"/>
            </w:pPr>
            <w:r>
              <w:rPr>
                <w:sz w:val="18"/>
              </w:rPr>
              <w:t>75</w:t>
            </w:r>
          </w:p>
        </w:tc>
      </w:tr>
      <w:tr>
        <w:tc>
          <w:tcPr>
            <w:tcW w:type="dxa" w:w="2351"/>
            <w:shd w:val="clear" w:color="auto" w:fill="EAF0FB"/>
          </w:tcPr>
          <w:p>
            <w:pPr>
              <w:jc w:val="left"/>
            </w:pPr>
            <w:r>
              <w:rPr>
                <w:sz w:val="18"/>
              </w:rPr>
              <w:t>NVA 2</w:t>
            </w:r>
          </w:p>
        </w:tc>
        <w:tc>
          <w:tcPr>
            <w:tcW w:type="dxa" w:w="2351"/>
            <w:shd w:val="clear" w:color="auto" w:fill="EAF0FB"/>
          </w:tcPr>
          <w:p>
            <w:pPr>
              <w:jc w:val="left"/>
            </w:pPr>
            <w:r>
              <w:rPr>
                <w:sz w:val="18"/>
              </w:rPr>
              <w:t>Transferencia tabla dummies → tabla gruesa</w:t>
            </w:r>
          </w:p>
        </w:tc>
        <w:tc>
          <w:tcPr>
            <w:tcW w:type="dxa" w:w="2351"/>
            <w:shd w:val="clear" w:color="auto" w:fill="EAF0FB"/>
          </w:tcPr>
          <w:p>
            <w:pPr>
              <w:jc w:val="center"/>
            </w:pPr>
            <w:r>
              <w:rPr>
                <w:sz w:val="18"/>
              </w:rPr>
              <w:t>2x/sem × 20 min</w:t>
            </w:r>
          </w:p>
        </w:tc>
        <w:tc>
          <w:tcPr>
            <w:tcW w:type="dxa" w:w="2351"/>
            <w:shd w:val="clear" w:color="auto" w:fill="EAF0FB"/>
          </w:tcPr>
          <w:p>
            <w:pPr>
              <w:jc w:val="center"/>
            </w:pPr>
            <w:r>
              <w:rPr>
                <w:sz w:val="18"/>
              </w:rPr>
              <w:t>40</w:t>
            </w:r>
          </w:p>
        </w:tc>
      </w:tr>
      <w:tr>
        <w:tc>
          <w:tcPr>
            <w:tcW w:type="dxa" w:w="2351"/>
            <w:shd w:val="clear" w:color="auto" w:fill="FFFFFF"/>
          </w:tcPr>
          <w:p>
            <w:pPr>
              <w:jc w:val="left"/>
            </w:pPr>
            <w:r>
              <w:rPr>
                <w:sz w:val="18"/>
              </w:rPr>
              <w:t>NVA 3</w:t>
            </w:r>
          </w:p>
        </w:tc>
        <w:tc>
          <w:tcPr>
            <w:tcW w:type="dxa" w:w="2351"/>
            <w:shd w:val="clear" w:color="auto" w:fill="FFFFFF"/>
          </w:tcPr>
          <w:p>
            <w:pPr>
              <w:jc w:val="left"/>
            </w:pPr>
            <w:r>
              <w:rPr>
                <w:sz w:val="18"/>
              </w:rPr>
              <w:t>Alimentación de dashboards desde tabla gruesa</w:t>
            </w:r>
          </w:p>
        </w:tc>
        <w:tc>
          <w:tcPr>
            <w:tcW w:type="dxa" w:w="2351"/>
            <w:shd w:val="clear" w:color="auto" w:fill="FFFFFF"/>
          </w:tcPr>
          <w:p>
            <w:pPr>
              <w:jc w:val="center"/>
            </w:pPr>
            <w:r>
              <w:rPr>
                <w:sz w:val="18"/>
              </w:rPr>
              <w:t>1x/sem × 30 min</w:t>
            </w:r>
          </w:p>
        </w:tc>
        <w:tc>
          <w:tcPr>
            <w:tcW w:type="dxa" w:w="2351"/>
            <w:shd w:val="clear" w:color="auto" w:fill="FFFFFF"/>
          </w:tcPr>
          <w:p>
            <w:pPr>
              <w:jc w:val="center"/>
            </w:pPr>
            <w:r>
              <w:rPr>
                <w:sz w:val="18"/>
              </w:rPr>
              <w:t>30</w:t>
            </w:r>
          </w:p>
        </w:tc>
      </w:tr>
      <w:tr>
        <w:tc>
          <w:tcPr>
            <w:tcW w:type="dxa" w:w="2351"/>
            <w:shd w:val="clear" w:color="auto" w:fill="EAF0FB"/>
          </w:tcPr>
          <w:p>
            <w:pPr>
              <w:jc w:val="left"/>
            </w:pPr>
            <w:r>
              <w:rPr>
                <w:sz w:val="18"/>
              </w:rPr>
              <w:t>NVA 4</w:t>
            </w:r>
          </w:p>
        </w:tc>
        <w:tc>
          <w:tcPr>
            <w:tcW w:type="dxa" w:w="2351"/>
            <w:shd w:val="clear" w:color="auto" w:fill="EAF0FB"/>
          </w:tcPr>
          <w:p>
            <w:pPr>
              <w:jc w:val="left"/>
            </w:pPr>
            <w:r>
              <w:rPr>
                <w:sz w:val="18"/>
              </w:rPr>
              <w:t>Búsqueda de información dispersa</w:t>
            </w:r>
          </w:p>
        </w:tc>
        <w:tc>
          <w:tcPr>
            <w:tcW w:type="dxa" w:w="2351"/>
            <w:shd w:val="clear" w:color="auto" w:fill="EAF0FB"/>
          </w:tcPr>
          <w:p>
            <w:pPr>
              <w:jc w:val="center"/>
            </w:pPr>
            <w:r>
              <w:rPr>
                <w:sz w:val="18"/>
              </w:rPr>
              <w:t>5x/sem × 20 min</w:t>
            </w:r>
          </w:p>
        </w:tc>
        <w:tc>
          <w:tcPr>
            <w:tcW w:type="dxa" w:w="2351"/>
            <w:shd w:val="clear" w:color="auto" w:fill="EAF0FB"/>
          </w:tcPr>
          <w:p>
            <w:pPr>
              <w:jc w:val="center"/>
            </w:pPr>
            <w:r>
              <w:rPr>
                <w:sz w:val="18"/>
              </w:rPr>
              <w:t>100</w:t>
            </w:r>
          </w:p>
        </w:tc>
      </w:tr>
      <w:tr>
        <w:tc>
          <w:tcPr>
            <w:tcW w:type="dxa" w:w="2351"/>
            <w:shd w:val="clear" w:color="auto" w:fill="FFFFFF"/>
          </w:tcPr>
          <w:p>
            <w:pPr>
              <w:jc w:val="left"/>
            </w:pPr>
            <w:r>
              <w:rPr>
                <w:sz w:val="18"/>
              </w:rPr>
              <w:t>NVA 5</w:t>
            </w:r>
          </w:p>
        </w:tc>
        <w:tc>
          <w:tcPr>
            <w:tcW w:type="dxa" w:w="2351"/>
            <w:shd w:val="clear" w:color="auto" w:fill="FFFFFF"/>
          </w:tcPr>
          <w:p>
            <w:pPr>
              <w:jc w:val="left"/>
            </w:pPr>
            <w:r>
              <w:rPr>
                <w:sz w:val="18"/>
              </w:rPr>
              <w:t>Consolidación manual del reporte ejecutivo</w:t>
            </w:r>
          </w:p>
        </w:tc>
        <w:tc>
          <w:tcPr>
            <w:tcW w:type="dxa" w:w="2351"/>
            <w:shd w:val="clear" w:color="auto" w:fill="FFFFFF"/>
          </w:tcPr>
          <w:p>
            <w:pPr>
              <w:jc w:val="center"/>
            </w:pPr>
            <w:r>
              <w:rPr>
                <w:sz w:val="18"/>
              </w:rPr>
              <w:t>1x/sem × 45 min</w:t>
            </w:r>
          </w:p>
        </w:tc>
        <w:tc>
          <w:tcPr>
            <w:tcW w:type="dxa" w:w="2351"/>
            <w:shd w:val="clear" w:color="auto" w:fill="FFFFFF"/>
          </w:tcPr>
          <w:p>
            <w:pPr>
              <w:jc w:val="center"/>
            </w:pPr>
            <w:r>
              <w:rPr>
                <w:sz w:val="18"/>
              </w:rPr>
              <w:t>45</w:t>
            </w:r>
          </w:p>
        </w:tc>
      </w:tr>
      <w:tr>
        <w:tc>
          <w:tcPr>
            <w:tcW w:type="dxa" w:w="2351"/>
            <w:shd w:val="clear" w:color="auto" w:fill="EAF0FB"/>
          </w:tcPr>
          <w:p>
            <w:pPr>
              <w:jc w:val="left"/>
            </w:pPr>
            <w:r>
              <w:rPr>
                <w:sz w:val="18"/>
              </w:rPr>
              <w:t>NVA 6</w:t>
            </w:r>
          </w:p>
        </w:tc>
        <w:tc>
          <w:tcPr>
            <w:tcW w:type="dxa" w:w="2351"/>
            <w:shd w:val="clear" w:color="auto" w:fill="EAF0FB"/>
          </w:tcPr>
          <w:p>
            <w:pPr>
              <w:jc w:val="left"/>
            </w:pPr>
            <w:r>
              <w:rPr>
                <w:sz w:val="18"/>
              </w:rPr>
              <w:t>Actualización de cronogramas Google Sheets</w:t>
            </w:r>
          </w:p>
        </w:tc>
        <w:tc>
          <w:tcPr>
            <w:tcW w:type="dxa" w:w="2351"/>
            <w:shd w:val="clear" w:color="auto" w:fill="EAF0FB"/>
          </w:tcPr>
          <w:p>
            <w:pPr>
              <w:jc w:val="center"/>
            </w:pPr>
            <w:r>
              <w:rPr>
                <w:sz w:val="18"/>
              </w:rPr>
              <w:t>2x/sem × 15 min</w:t>
            </w:r>
          </w:p>
        </w:tc>
        <w:tc>
          <w:tcPr>
            <w:tcW w:type="dxa" w:w="2351"/>
            <w:shd w:val="clear" w:color="auto" w:fill="EAF0FB"/>
          </w:tcPr>
          <w:p>
            <w:pPr>
              <w:jc w:val="center"/>
            </w:pPr>
            <w:r>
              <w:rPr>
                <w:sz w:val="18"/>
              </w:rPr>
              <w:t>30</w:t>
            </w:r>
          </w:p>
        </w:tc>
      </w:tr>
      <w:tr>
        <w:tc>
          <w:tcPr>
            <w:tcW w:type="dxa" w:w="2351"/>
            <w:shd w:val="clear" w:color="auto" w:fill="FFFFFF"/>
          </w:tcPr>
          <w:p>
            <w:pPr>
              <w:jc w:val="left"/>
            </w:pPr>
            <w:r>
              <w:rPr>
                <w:sz w:val="18"/>
              </w:rPr>
              <w:t>NVA 7</w:t>
            </w:r>
          </w:p>
        </w:tc>
        <w:tc>
          <w:tcPr>
            <w:tcW w:type="dxa" w:w="2351"/>
            <w:shd w:val="clear" w:color="auto" w:fill="FFFFFF"/>
          </w:tcPr>
          <w:p>
            <w:pPr>
              <w:jc w:val="left"/>
            </w:pPr>
            <w:r>
              <w:rPr>
                <w:sz w:val="18"/>
              </w:rPr>
              <w:t>Reconciliación costos reales vs. presupuesto</w:t>
            </w:r>
          </w:p>
        </w:tc>
        <w:tc>
          <w:tcPr>
            <w:tcW w:type="dxa" w:w="2351"/>
            <w:shd w:val="clear" w:color="auto" w:fill="FFFFFF"/>
          </w:tcPr>
          <w:p>
            <w:pPr>
              <w:jc w:val="center"/>
            </w:pPr>
            <w:r>
              <w:rPr>
                <w:sz w:val="18"/>
              </w:rPr>
              <w:t>1x/sem × 30 min</w:t>
            </w:r>
          </w:p>
        </w:tc>
        <w:tc>
          <w:tcPr>
            <w:tcW w:type="dxa" w:w="2351"/>
            <w:shd w:val="clear" w:color="auto" w:fill="FFFFFF"/>
          </w:tcPr>
          <w:p>
            <w:pPr>
              <w:jc w:val="center"/>
            </w:pPr>
            <w:r>
              <w:rPr>
                <w:sz w:val="18"/>
              </w:rPr>
              <w:t>30</w:t>
            </w:r>
          </w:p>
        </w:tc>
      </w:tr>
      <w:tr>
        <w:tc>
          <w:tcPr>
            <w:tcW w:type="dxa" w:w="2351"/>
            <w:shd w:val="clear" w:color="auto" w:fill="EAF0FB"/>
          </w:tcPr>
          <w:p>
            <w:pPr>
              <w:jc w:val="left"/>
            </w:pPr>
            <w:r>
              <w:rPr>
                <w:sz w:val="18"/>
              </w:rPr>
              <w:t>TOTAL</w:t>
            </w:r>
          </w:p>
        </w:tc>
        <w:tc>
          <w:tcPr>
            <w:tcW w:type="dxa" w:w="2351"/>
            <w:shd w:val="clear" w:color="auto" w:fill="EAF0FB"/>
          </w:tcPr>
          <w:p>
            <w:pPr>
              <w:jc w:val="left"/>
            </w:pPr>
            <w:r>
              <w:rPr>
                <w:sz w:val="18"/>
              </w:rPr>
            </w:r>
          </w:p>
        </w:tc>
        <w:tc>
          <w:tcPr>
            <w:tcW w:type="dxa" w:w="2351"/>
            <w:shd w:val="clear" w:color="auto" w:fill="EAF0FB"/>
          </w:tcPr>
          <w:p>
            <w:pPr>
              <w:jc w:val="center"/>
            </w:pPr>
            <w:r>
              <w:rPr>
                <w:sz w:val="18"/>
              </w:rPr>
            </w:r>
          </w:p>
        </w:tc>
        <w:tc>
          <w:tcPr>
            <w:tcW w:type="dxa" w:w="2351"/>
            <w:shd w:val="clear" w:color="auto" w:fill="EAF0FB"/>
          </w:tcPr>
          <w:p>
            <w:pPr>
              <w:jc w:val="center"/>
            </w:pPr>
            <w:r>
              <w:rPr>
                <w:sz w:val="18"/>
              </w:rPr>
              <w:t>350</w:t>
            </w:r>
          </w:p>
        </w:tc>
      </w:tr>
    </w:tbl>
    <w:p>
      <w:pPr>
        <w:spacing w:before="0" w:after="120"/>
      </w:pPr>
    </w:p>
    <w:p>
      <w:pPr>
        <w:spacing w:after="80"/>
        <w:jc w:val="left"/>
        <w:pBdr>
          <w:bottom w:val="single" w:sz="6" w:space="1" w:color="1a3a5c"/>
        </w:pBdr>
      </w:pPr>
      <w:r>
        <w:rPr>
          <w:b/>
          <w:color w:val="1A3A5C"/>
          <w:sz w:val="26"/>
        </w:rPr>
        <w:t>3. Métricas del Indicador</w:t>
      </w:r>
    </w:p>
    <w:p>
      <w:pPr>
        <w:spacing w:before="0" w:after="40"/>
      </w:pPr>
    </w:p>
    <w:tbl>
      <w:tblPr>
        <w:tblStyle w:val="TableGrid"/>
        <w:tblW w:type="auto" w:w="0"/>
        <w:jc w:val="center"/>
        <w:tblLook w:firstColumn="1" w:firstRow="1" w:lastColumn="0" w:lastRow="0" w:noHBand="0" w:noVBand="1" w:val="04A0"/>
      </w:tblPr>
      <w:tblGrid>
        <w:gridCol w:w="1881"/>
        <w:gridCol w:w="1881"/>
        <w:gridCol w:w="1881"/>
        <w:gridCol w:w="1881"/>
        <w:gridCol w:w="1881"/>
      </w:tblGrid>
      <w:tr>
        <w:trPr>
          <w:trHeight w:val="397"/>
        </w:trPr>
        <w:tc>
          <w:tcPr>
            <w:tcW w:type="dxa" w:w="1881"/>
            <w:shd w:val="clear" w:color="auto" w:fill="C0392B"/>
            <w:vAlign w:val="center"/>
          </w:tcPr>
          <w:p>
            <w:pPr>
              <w:jc w:val="center"/>
            </w:pPr>
            <w:r>
              <w:rPr>
                <w:b/>
                <w:color w:val="FFFFFF"/>
                <w:sz w:val="18"/>
              </w:rPr>
              <w:t>Línea Base</w:t>
            </w:r>
          </w:p>
        </w:tc>
        <w:tc>
          <w:tcPr>
            <w:tcW w:type="dxa" w:w="1881"/>
            <w:shd w:val="clear" w:color="auto" w:fill="1A3A5C"/>
            <w:vAlign w:val="center"/>
          </w:tcPr>
          <w:p>
            <w:pPr>
              <w:jc w:val="center"/>
            </w:pPr>
            <w:r>
              <w:rPr>
                <w:b/>
                <w:color w:val="FFFFFF"/>
                <w:sz w:val="18"/>
              </w:rPr>
              <w:t>Mes de la Medición</w:t>
            </w:r>
          </w:p>
        </w:tc>
        <w:tc>
          <w:tcPr>
            <w:tcW w:type="dxa" w:w="1881"/>
            <w:shd w:val="clear" w:color="auto" w:fill="27AE60"/>
            <w:vAlign w:val="center"/>
          </w:tcPr>
          <w:p>
            <w:pPr>
              <w:jc w:val="center"/>
            </w:pPr>
            <w:r>
              <w:rPr>
                <w:b/>
                <w:color w:val="FFFFFF"/>
                <w:sz w:val="18"/>
              </w:rPr>
              <w:t>Meta del Indicador</w:t>
            </w:r>
          </w:p>
        </w:tc>
        <w:tc>
          <w:tcPr>
            <w:tcW w:type="dxa" w:w="1881"/>
            <w:shd w:val="clear" w:color="auto" w:fill="C0392B"/>
            <w:vAlign w:val="center"/>
          </w:tcPr>
          <w:p>
            <w:pPr>
              <w:jc w:val="center"/>
            </w:pPr>
            <w:r>
              <w:rPr>
                <w:b/>
                <w:color w:val="FFFFFF"/>
                <w:sz w:val="18"/>
              </w:rPr>
              <w:t>Variación Esperada</w:t>
            </w:r>
          </w:p>
        </w:tc>
        <w:tc>
          <w:tcPr>
            <w:tcW w:type="dxa" w:w="1881"/>
            <w:shd w:val="clear" w:color="auto" w:fill="5D6D7E"/>
            <w:vAlign w:val="center"/>
          </w:tcPr>
          <w:p>
            <w:pPr>
              <w:jc w:val="center"/>
            </w:pPr>
            <w:r>
              <w:rPr>
                <w:b/>
                <w:color w:val="FFFFFF"/>
                <w:sz w:val="18"/>
              </w:rPr>
              <w:t>Unidad de Medida</w:t>
            </w:r>
          </w:p>
        </w:tc>
      </w:tr>
      <w:tr>
        <w:trPr>
          <w:trHeight w:val="397"/>
        </w:trPr>
        <w:tc>
          <w:tcPr>
            <w:tcW w:type="dxa" w:w="1881"/>
            <w:shd w:val="clear" w:color="auto" w:fill="F7F9FC"/>
            <w:vAlign w:val="center"/>
          </w:tcPr>
          <w:p>
            <w:pPr>
              <w:jc w:val="center"/>
            </w:pPr>
            <w:r>
              <w:rPr>
                <w:b/>
                <w:color w:val="C0392B"/>
                <w:sz w:val="26"/>
              </w:rPr>
              <w:t>350,00</w:t>
            </w:r>
          </w:p>
        </w:tc>
        <w:tc>
          <w:tcPr>
            <w:tcW w:type="dxa" w:w="1881"/>
            <w:shd w:val="clear" w:color="auto" w:fill="F7F9FC"/>
            <w:vAlign w:val="center"/>
          </w:tcPr>
          <w:p>
            <w:pPr>
              <w:jc w:val="center"/>
            </w:pPr>
            <w:r>
              <w:rPr>
                <w:b/>
                <w:color w:val="1A3A5C"/>
                <w:sz w:val="26"/>
              </w:rPr>
              <w:t>Marzo de 2026</w:t>
            </w:r>
          </w:p>
        </w:tc>
        <w:tc>
          <w:tcPr>
            <w:tcW w:type="dxa" w:w="1881"/>
            <w:shd w:val="clear" w:color="auto" w:fill="F7F9FC"/>
            <w:vAlign w:val="center"/>
          </w:tcPr>
          <w:p>
            <w:pPr>
              <w:jc w:val="center"/>
            </w:pPr>
            <w:r>
              <w:rPr>
                <w:b/>
                <w:color w:val="27AE60"/>
                <w:sz w:val="26"/>
              </w:rPr>
              <w:t>245,00</w:t>
            </w:r>
          </w:p>
        </w:tc>
        <w:tc>
          <w:tcPr>
            <w:tcW w:type="dxa" w:w="1881"/>
            <w:shd w:val="clear" w:color="auto" w:fill="F7F9FC"/>
            <w:vAlign w:val="center"/>
          </w:tcPr>
          <w:p>
            <w:pPr>
              <w:jc w:val="center"/>
            </w:pPr>
            <w:r>
              <w:rPr>
                <w:b/>
                <w:color w:val="C0392B"/>
                <w:sz w:val="26"/>
              </w:rPr>
              <w:t>-30,00 %</w:t>
            </w:r>
          </w:p>
        </w:tc>
        <w:tc>
          <w:tcPr>
            <w:tcW w:type="dxa" w:w="1881"/>
            <w:shd w:val="clear" w:color="auto" w:fill="F7F9FC"/>
            <w:vAlign w:val="center"/>
          </w:tcPr>
          <w:p>
            <w:pPr>
              <w:jc w:val="center"/>
            </w:pPr>
            <w:r>
              <w:rPr>
                <w:b/>
                <w:color w:val="5D6D7E"/>
                <w:sz w:val="26"/>
              </w:rPr>
              <w:t>Minutos por semana</w:t>
            </w:r>
          </w:p>
        </w:tc>
      </w:tr>
    </w:tbl>
    <w:p>
      <w:pPr>
        <w:spacing w:before="0" w:after="120"/>
      </w:pPr>
    </w:p>
    <w:p>
      <w:pPr>
        <w:spacing w:after="80"/>
        <w:jc w:val="left"/>
        <w:pBdr>
          <w:bottom w:val="single" w:sz="6" w:space="1" w:color="1a3a5c"/>
        </w:pBdr>
      </w:pPr>
      <w:r>
        <w:rPr>
          <w:b/>
          <w:color w:val="1A3A5C"/>
          <w:sz w:val="26"/>
        </w:rPr>
        <w:t>4. Entregable de Soporte</w:t>
      </w:r>
    </w:p>
    <w:p>
      <w:pPr>
        <w:spacing w:after="40"/>
        <w:ind w:left="283"/>
      </w:pPr>
      <w:r>
        <w:rPr>
          <w:b w:val="0"/>
          <w:i/>
          <w:color w:val="154360"/>
          <w:sz w:val="20"/>
          <w:u w:val="none"/>
        </w:rPr>
        <w:t>VSM_CNTXT_PT2.xlsx | VSM_Proceso_Actual_CNTXT.png | VSM_Proceso_Futuro_CNTXT.png</w:t>
      </w:r>
    </w:p>
    <w:p>
      <w:r>
        <w:br w:type="page"/>
      </w:r>
    </w:p>
    <w:tbl>
      <w:tblPr>
        <w:tblStyle w:val="TableGrid"/>
        <w:tblW w:type="auto" w:w="0"/>
        <w:jc w:val="left"/>
        <w:tblLook w:firstColumn="1" w:firstRow="1" w:lastColumn="0" w:lastRow="0" w:noHBand="0" w:noVBand="1" w:val="04A0"/>
      </w:tblPr>
      <w:tblGrid>
        <w:gridCol w:w="7370"/>
        <w:gridCol w:w="2268"/>
      </w:tblGrid>
      <w:tr>
        <w:trPr>
          <w:trHeight w:val="425"/>
        </w:trPr>
        <w:tc>
          <w:tcPr>
            <w:tcW w:type="dxa" w:w="4703"/>
            <w:shd w:val="clear" w:color="auto" w:fill="C0392B"/>
          </w:tcPr>
          <w:p>
            <w:pPr>
              <w:jc w:val="left"/>
            </w:pPr>
            <w:r>
              <w:rPr>
                <w:b/>
                <w:color w:val="FFFFFF"/>
                <w:sz w:val="24"/>
              </w:rPr>
              <w:t xml:space="preserve">  IPT-2  —  Reducción del Tiempo de Ciclo de Gestión Operativa (TCP)</w:t>
            </w:r>
          </w:p>
        </w:tc>
        <w:tc>
          <w:tcPr>
            <w:tcW w:type="dxa" w:w="4703"/>
            <w:shd w:val="clear" w:color="auto" w:fill="C0392B"/>
          </w:tcPr>
          <w:p>
            <w:pPr>
              <w:jc w:val="right"/>
            </w:pPr>
            <w:r>
              <w:rPr>
                <w:color w:val="FFFFFF"/>
                <w:sz w:val="18"/>
              </w:rPr>
              <w:t xml:space="preserve">[ Fijo ]  </w:t>
            </w:r>
          </w:p>
        </w:tc>
      </w:tr>
    </w:tbl>
    <w:p>
      <w:pPr>
        <w:spacing w:before="0" w:after="120"/>
      </w:pPr>
    </w:p>
    <w:p>
      <w:pPr>
        <w:spacing w:after="80"/>
        <w:jc w:val="left"/>
        <w:pBdr>
          <w:bottom w:val="single" w:sz="6" w:space="1" w:color="1a3a5c"/>
        </w:pBdr>
      </w:pPr>
      <w:r>
        <w:rPr>
          <w:b/>
          <w:color w:val="1A3A5C"/>
          <w:sz w:val="26"/>
        </w:rPr>
        <w:t>1. Nombre del Indicador</w:t>
      </w:r>
    </w:p>
    <w:p>
      <w:pPr>
        <w:spacing w:after="80"/>
        <w:ind w:left="283"/>
      </w:pPr>
      <w:r>
        <w:rPr>
          <w:b/>
          <w:i w:val="0"/>
          <w:color w:val="1A3A5C"/>
          <w:sz w:val="22"/>
          <w:u w:val="none"/>
        </w:rPr>
        <w:t>Reducción del Tiempo de Ciclo de Gestión Operativa (TCP)</w:t>
      </w:r>
    </w:p>
    <w:p>
      <w:pPr>
        <w:spacing w:before="0" w:after="80"/>
      </w:pPr>
    </w:p>
    <w:p>
      <w:pPr>
        <w:spacing w:after="80"/>
        <w:jc w:val="left"/>
        <w:pBdr>
          <w:bottom w:val="single" w:sz="6" w:space="1" w:color="1a3a5c"/>
        </w:pBdr>
      </w:pPr>
      <w:r>
        <w:rPr>
          <w:b/>
          <w:color w:val="1A3A5C"/>
          <w:sz w:val="26"/>
        </w:rPr>
        <w:t>2. Cálculo de la Medición</w:t>
      </w:r>
    </w:p>
    <w:p>
      <w:pPr>
        <w:spacing w:before="20" w:after="20"/>
        <w:ind w:left="283"/>
      </w:pPr>
      <w:r>
        <w:rPr>
          <w:b w:val="0"/>
          <w:i w:val="0"/>
          <w:sz w:val="20"/>
          <w:u w:val="none"/>
        </w:rPr>
        <w:t>La medición se realiza sobre el ciclo completo de respuesta operativa en horas hábiles (jornada de 8 horas), desde la ocurrencia de un evento operativo relevante en un proyecto (desfase en cronograma, desviación presupuestal, pausa de cliente, demora de disciplina externa) hasta la toma de decisión correctiva informada por parte del equipo directivo. El alcance se mantendrá idéntico en las mediciones intermedia y de salida.</w:t>
      </w:r>
    </w:p>
    <w:p>
      <w:pPr>
        <w:spacing w:before="20" w:after="20"/>
        <w:ind w:left="283"/>
      </w:pPr>
      <w:r>
        <w:rPr>
          <w:b w:val="0"/>
          <w:i w:val="0"/>
          <w:sz w:val="20"/>
          <w:u w:val="none"/>
        </w:rPr>
      </w:r>
    </w:p>
    <w:p>
      <w:pPr>
        <w:spacing w:before="20" w:after="20"/>
        <w:ind w:left="283"/>
      </w:pPr>
      <w:r>
        <w:rPr>
          <w:b w:val="0"/>
          <w:i w:val="0"/>
          <w:sz w:val="20"/>
          <w:u w:val="none"/>
        </w:rPr>
        <w:t>Fórmula aplicada: TCP = Σ horas hábiles transcurridas en cada hito del ciclo, desde la ocurrencia del evento hasta la decisión correctiva.</w:t>
      </w:r>
    </w:p>
    <w:p>
      <w:pPr>
        <w:spacing w:before="20" w:after="20"/>
        <w:ind w:left="283"/>
      </w:pPr>
      <w:r>
        <w:rPr>
          <w:b w:val="0"/>
          <w:i w:val="0"/>
          <w:sz w:val="20"/>
          <w:u w:val="none"/>
        </w:rPr>
      </w:r>
    </w:p>
    <w:p>
      <w:pPr>
        <w:spacing w:before="20" w:after="20"/>
        <w:ind w:left="283"/>
      </w:pPr>
      <w:r>
        <w:rPr>
          <w:b w:val="0"/>
          <w:i w:val="0"/>
          <w:sz w:val="20"/>
          <w:u w:val="none"/>
        </w:rPr>
        <w:t>Ciclo línea base — 48 horas hábiles (6 días hábiles promedio):</w:t>
      </w:r>
    </w:p>
    <w:p>
      <w:pPr>
        <w:spacing w:before="20" w:after="20"/>
        <w:ind w:left="283"/>
      </w:pPr>
      <w:r>
        <w:rPr>
          <w:b w:val="0"/>
          <w:i w:val="0"/>
          <w:sz w:val="20"/>
          <w:u w:val="none"/>
        </w:rPr>
      </w:r>
    </w:p>
    <w:p>
      <w:pPr>
        <w:spacing w:before="20" w:after="20"/>
        <w:ind w:left="283"/>
      </w:pPr>
      <w:r>
        <w:rPr>
          <w:b w:val="0"/>
          <w:i w:val="0"/>
          <w:sz w:val="20"/>
          <w:u w:val="none"/>
        </w:rPr>
        <w:t xml:space="preserve">  • Hito 1 — Ocurrencia del evento operativo: Hora 0.</w:t>
      </w:r>
    </w:p>
    <w:p>
      <w:pPr>
        <w:spacing w:before="20" w:after="20"/>
        <w:ind w:left="283"/>
      </w:pPr>
      <w:r>
        <w:rPr>
          <w:b w:val="0"/>
          <w:i w:val="0"/>
          <w:sz w:val="20"/>
          <w:u w:val="none"/>
        </w:rPr>
        <w:t xml:space="preserve">  • Hito 2 — Registro manual del evento por el Líder de Proyecto en Google Sheets:</w:t>
      </w:r>
    </w:p>
    <w:p>
      <w:pPr>
        <w:spacing w:before="20" w:after="20"/>
        <w:ind w:left="283"/>
      </w:pPr>
      <w:r>
        <w:rPr>
          <w:b w:val="0"/>
          <w:i w:val="0"/>
          <w:sz w:val="20"/>
          <w:u w:val="none"/>
        </w:rPr>
        <w:t xml:space="preserve">    12 horas hábiles de latencia (8 a 16 horas si no coincide con día de actualización).</w:t>
      </w:r>
    </w:p>
    <w:p>
      <w:pPr>
        <w:spacing w:before="20" w:after="20"/>
        <w:ind w:left="283"/>
      </w:pPr>
      <w:r>
        <w:rPr>
          <w:b w:val="0"/>
          <w:i w:val="0"/>
          <w:sz w:val="20"/>
          <w:u w:val="none"/>
        </w:rPr>
        <w:t xml:space="preserve">  • Hito 3 — Consolidación de la información en la tabla gruesa:</w:t>
      </w:r>
    </w:p>
    <w:p>
      <w:pPr>
        <w:spacing w:before="20" w:after="20"/>
        <w:ind w:left="283"/>
      </w:pPr>
      <w:r>
        <w:rPr>
          <w:b w:val="0"/>
          <w:i w:val="0"/>
          <w:sz w:val="20"/>
          <w:u w:val="none"/>
        </w:rPr>
        <w:t xml:space="preserve">    12 horas hábiles adicionales.</w:t>
      </w:r>
    </w:p>
    <w:p>
      <w:pPr>
        <w:spacing w:before="20" w:after="20"/>
        <w:ind w:left="283"/>
      </w:pPr>
      <w:r>
        <w:rPr>
          <w:b w:val="0"/>
          <w:i w:val="0"/>
          <w:sz w:val="20"/>
          <w:u w:val="none"/>
        </w:rPr>
        <w:t xml:space="preserve">  • Hito 4 — Preparación del reporte para reunión del equipo directivo (Coffee semanal):</w:t>
      </w:r>
    </w:p>
    <w:p>
      <w:pPr>
        <w:spacing w:before="20" w:after="20"/>
        <w:ind w:left="283"/>
      </w:pPr>
      <w:r>
        <w:rPr>
          <w:b w:val="0"/>
          <w:i w:val="0"/>
          <w:sz w:val="20"/>
          <w:u w:val="none"/>
        </w:rPr>
        <w:t xml:space="preserve">    16 horas hábiles.</w:t>
      </w:r>
    </w:p>
    <w:p>
      <w:pPr>
        <w:spacing w:before="20" w:after="20"/>
        <w:ind w:left="283"/>
      </w:pPr>
      <w:r>
        <w:rPr>
          <w:b w:val="0"/>
          <w:i w:val="0"/>
          <w:sz w:val="20"/>
          <w:u w:val="none"/>
        </w:rPr>
        <w:t xml:space="preserve">  • Hito 5 — Revisión y decisión del equipo directivo durante la reunión semanal:</w:t>
      </w:r>
    </w:p>
    <w:p>
      <w:pPr>
        <w:spacing w:before="20" w:after="20"/>
        <w:ind w:left="283"/>
      </w:pPr>
      <w:r>
        <w:rPr>
          <w:b w:val="0"/>
          <w:i w:val="0"/>
          <w:sz w:val="20"/>
          <w:u w:val="none"/>
        </w:rPr>
        <w:t xml:space="preserve">    4 horas hábiles.</w:t>
      </w:r>
    </w:p>
    <w:p>
      <w:pPr>
        <w:spacing w:before="20" w:after="20"/>
        <w:ind w:left="283"/>
      </w:pPr>
      <w:r>
        <w:rPr>
          <w:b w:val="0"/>
          <w:i w:val="0"/>
          <w:sz w:val="20"/>
          <w:u w:val="none"/>
        </w:rPr>
        <w:t xml:space="preserve">  • Hito 6 — Escalamiento y decisión:</w:t>
      </w:r>
    </w:p>
    <w:p>
      <w:pPr>
        <w:spacing w:before="20" w:after="20"/>
        <w:ind w:left="283"/>
      </w:pPr>
      <w:r>
        <w:rPr>
          <w:b w:val="0"/>
          <w:i w:val="0"/>
          <w:sz w:val="20"/>
          <w:u w:val="none"/>
        </w:rPr>
        <w:t xml:space="preserve">    4 horas hábiles.</w:t>
      </w:r>
    </w:p>
    <w:p>
      <w:pPr>
        <w:spacing w:before="20" w:after="20"/>
        <w:ind w:left="283"/>
      </w:pPr>
      <w:r>
        <w:rPr>
          <w:b w:val="0"/>
          <w:i w:val="0"/>
          <w:sz w:val="20"/>
          <w:u w:val="none"/>
        </w:rPr>
      </w:r>
    </w:p>
    <w:p>
      <w:pPr>
        <w:spacing w:before="20" w:after="20"/>
        <w:ind w:left="283"/>
      </w:pPr>
      <w:r>
        <w:rPr>
          <w:b w:val="0"/>
          <w:i w:val="0"/>
          <w:sz w:val="20"/>
          <w:u w:val="none"/>
        </w:rPr>
        <w:t>TOTAL TCP línea base: 0 + 12 + 12 + 16 + 4 + 4 = 48 horas hábiles (Marzo 2026).</w:t>
      </w:r>
    </w:p>
    <w:p>
      <w:pPr>
        <w:spacing w:before="20" w:after="20"/>
        <w:ind w:left="283"/>
      </w:pPr>
      <w:r>
        <w:rPr>
          <w:b w:val="0"/>
          <w:i w:val="0"/>
          <w:sz w:val="20"/>
          <w:u w:val="none"/>
        </w:rPr>
        <w:t>META TCP: 48 × 0,3333 = 16 horas hábiles (reducción del 66,67 %).</w:t>
      </w:r>
    </w:p>
    <w:p>
      <w:pPr>
        <w:spacing w:before="20" w:after="20"/>
        <w:ind w:left="283"/>
      </w:pPr>
      <w:r>
        <w:rPr>
          <w:b w:val="0"/>
          <w:i w:val="0"/>
          <w:sz w:val="20"/>
          <w:u w:val="none"/>
        </w:rPr>
      </w:r>
    </w:p>
    <w:p>
      <w:pPr>
        <w:spacing w:before="20" w:after="20"/>
        <w:ind w:left="283"/>
      </w:pPr>
      <w:r>
        <w:rPr>
          <w:b w:val="0"/>
          <w:i w:val="0"/>
          <w:sz w:val="20"/>
          <w:u w:val="none"/>
        </w:rPr>
        <w:t>Período de la medición: evento operativo tipo representativo del mes de marzo de 2026. La temporalidad se expresa en horas hábiles (jornada de 8 horas) conforme a la ficha técnica del indicador.</w:t>
      </w:r>
    </w:p>
    <w:p>
      <w:pPr>
        <w:spacing w:before="0" w:after="80"/>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C0392B"/>
          </w:tcPr>
          <w:p>
            <w:pPr>
              <w:jc w:val="center"/>
            </w:pPr>
            <w:r>
              <w:rPr>
                <w:b/>
                <w:color w:val="FFFFFF"/>
                <w:sz w:val="18"/>
              </w:rPr>
              <w:t>Hito</w:t>
            </w:r>
          </w:p>
        </w:tc>
        <w:tc>
          <w:tcPr>
            <w:tcW w:type="dxa" w:w="2351"/>
            <w:shd w:val="clear" w:color="auto" w:fill="C0392B"/>
          </w:tcPr>
          <w:p>
            <w:pPr>
              <w:jc w:val="center"/>
            </w:pPr>
            <w:r>
              <w:rPr>
                <w:b/>
                <w:color w:val="FFFFFF"/>
                <w:sz w:val="18"/>
              </w:rPr>
              <w:t>Descripción</w:t>
            </w:r>
          </w:p>
        </w:tc>
        <w:tc>
          <w:tcPr>
            <w:tcW w:type="dxa" w:w="2351"/>
            <w:shd w:val="clear" w:color="auto" w:fill="C0392B"/>
          </w:tcPr>
          <w:p>
            <w:pPr>
              <w:jc w:val="center"/>
            </w:pPr>
            <w:r>
              <w:rPr>
                <w:b/>
                <w:color w:val="FFFFFF"/>
                <w:sz w:val="18"/>
              </w:rPr>
              <w:t>Línea base</w:t>
            </w:r>
          </w:p>
        </w:tc>
        <w:tc>
          <w:tcPr>
            <w:tcW w:type="dxa" w:w="2351"/>
            <w:shd w:val="clear" w:color="auto" w:fill="C0392B"/>
          </w:tcPr>
          <w:p>
            <w:pPr>
              <w:jc w:val="center"/>
            </w:pPr>
            <w:r>
              <w:rPr>
                <w:b/>
                <w:color w:val="FFFFFF"/>
                <w:sz w:val="18"/>
              </w:rPr>
              <w:t>Meta</w:t>
            </w:r>
          </w:p>
        </w:tc>
      </w:tr>
      <w:tr>
        <w:tc>
          <w:tcPr>
            <w:tcW w:type="dxa" w:w="2351"/>
            <w:shd w:val="clear" w:color="auto" w:fill="FFFFFF"/>
          </w:tcPr>
          <w:p>
            <w:pPr>
              <w:jc w:val="left"/>
            </w:pPr>
            <w:r>
              <w:rPr>
                <w:sz w:val="18"/>
              </w:rPr>
              <w:t>H1</w:t>
            </w:r>
          </w:p>
        </w:tc>
        <w:tc>
          <w:tcPr>
            <w:tcW w:type="dxa" w:w="2351"/>
            <w:shd w:val="clear" w:color="auto" w:fill="FFFFFF"/>
          </w:tcPr>
          <w:p>
            <w:pPr>
              <w:jc w:val="left"/>
            </w:pPr>
            <w:r>
              <w:rPr>
                <w:sz w:val="18"/>
              </w:rPr>
              <w:t>Ocurrencia del evento operativo</w:t>
            </w:r>
          </w:p>
        </w:tc>
        <w:tc>
          <w:tcPr>
            <w:tcW w:type="dxa" w:w="2351"/>
            <w:shd w:val="clear" w:color="auto" w:fill="FFFFFF"/>
          </w:tcPr>
          <w:p>
            <w:pPr>
              <w:jc w:val="center"/>
            </w:pPr>
            <w:r>
              <w:rPr>
                <w:sz w:val="18"/>
              </w:rPr>
              <w:t>0 h</w:t>
            </w:r>
          </w:p>
        </w:tc>
        <w:tc>
          <w:tcPr>
            <w:tcW w:type="dxa" w:w="2351"/>
            <w:shd w:val="clear" w:color="auto" w:fill="FFFFFF"/>
          </w:tcPr>
          <w:p>
            <w:pPr>
              <w:jc w:val="center"/>
            </w:pPr>
            <w:r>
              <w:rPr>
                <w:sz w:val="18"/>
              </w:rPr>
              <w:t>0 h</w:t>
            </w:r>
          </w:p>
        </w:tc>
      </w:tr>
      <w:tr>
        <w:tc>
          <w:tcPr>
            <w:tcW w:type="dxa" w:w="2351"/>
            <w:shd w:val="clear" w:color="auto" w:fill="EAF0FB"/>
          </w:tcPr>
          <w:p>
            <w:pPr>
              <w:jc w:val="left"/>
            </w:pPr>
            <w:r>
              <w:rPr>
                <w:sz w:val="18"/>
              </w:rPr>
              <w:t>H2</w:t>
            </w:r>
          </w:p>
        </w:tc>
        <w:tc>
          <w:tcPr>
            <w:tcW w:type="dxa" w:w="2351"/>
            <w:shd w:val="clear" w:color="auto" w:fill="EAF0FB"/>
          </w:tcPr>
          <w:p>
            <w:pPr>
              <w:jc w:val="left"/>
            </w:pPr>
            <w:r>
              <w:rPr>
                <w:sz w:val="18"/>
              </w:rPr>
              <w:t>Detección / registro por Líder de Proyecto</w:t>
            </w:r>
          </w:p>
        </w:tc>
        <w:tc>
          <w:tcPr>
            <w:tcW w:type="dxa" w:w="2351"/>
            <w:shd w:val="clear" w:color="auto" w:fill="EAF0FB"/>
          </w:tcPr>
          <w:p>
            <w:pPr>
              <w:jc w:val="center"/>
            </w:pPr>
            <w:r>
              <w:rPr>
                <w:sz w:val="18"/>
              </w:rPr>
              <w:t>12 h</w:t>
            </w:r>
          </w:p>
        </w:tc>
        <w:tc>
          <w:tcPr>
            <w:tcW w:type="dxa" w:w="2351"/>
            <w:shd w:val="clear" w:color="auto" w:fill="EAF0FB"/>
          </w:tcPr>
          <w:p>
            <w:pPr>
              <w:jc w:val="center"/>
            </w:pPr>
            <w:r>
              <w:rPr>
                <w:sz w:val="18"/>
              </w:rPr>
              <w:t>1,5 h — alerta automática</w:t>
            </w:r>
          </w:p>
        </w:tc>
      </w:tr>
      <w:tr>
        <w:tc>
          <w:tcPr>
            <w:tcW w:type="dxa" w:w="2351"/>
            <w:shd w:val="clear" w:color="auto" w:fill="FFFFFF"/>
          </w:tcPr>
          <w:p>
            <w:pPr>
              <w:jc w:val="left"/>
            </w:pPr>
            <w:r>
              <w:rPr>
                <w:sz w:val="18"/>
              </w:rPr>
              <w:t>H3</w:t>
            </w:r>
          </w:p>
        </w:tc>
        <w:tc>
          <w:tcPr>
            <w:tcW w:type="dxa" w:w="2351"/>
            <w:shd w:val="clear" w:color="auto" w:fill="FFFFFF"/>
          </w:tcPr>
          <w:p>
            <w:pPr>
              <w:jc w:val="left"/>
            </w:pPr>
            <w:r>
              <w:rPr>
                <w:sz w:val="18"/>
              </w:rPr>
              <w:t>Consolidación en tabla gruesa</w:t>
            </w:r>
          </w:p>
        </w:tc>
        <w:tc>
          <w:tcPr>
            <w:tcW w:type="dxa" w:w="2351"/>
            <w:shd w:val="clear" w:color="auto" w:fill="FFFFFF"/>
          </w:tcPr>
          <w:p>
            <w:pPr>
              <w:jc w:val="center"/>
            </w:pPr>
            <w:r>
              <w:rPr>
                <w:sz w:val="18"/>
              </w:rPr>
              <w:t>12 h</w:t>
            </w:r>
          </w:p>
        </w:tc>
        <w:tc>
          <w:tcPr>
            <w:tcW w:type="dxa" w:w="2351"/>
            <w:shd w:val="clear" w:color="auto" w:fill="FFFFFF"/>
          </w:tcPr>
          <w:p>
            <w:pPr>
              <w:jc w:val="center"/>
            </w:pPr>
            <w:r>
              <w:rPr>
                <w:sz w:val="18"/>
              </w:rPr>
              <w:t>0 h — ELIMINADO</w:t>
            </w:r>
          </w:p>
        </w:tc>
      </w:tr>
      <w:tr>
        <w:tc>
          <w:tcPr>
            <w:tcW w:type="dxa" w:w="2351"/>
            <w:shd w:val="clear" w:color="auto" w:fill="EAF0FB"/>
          </w:tcPr>
          <w:p>
            <w:pPr>
              <w:jc w:val="left"/>
            </w:pPr>
            <w:r>
              <w:rPr>
                <w:sz w:val="18"/>
              </w:rPr>
              <w:t>H4</w:t>
            </w:r>
          </w:p>
        </w:tc>
        <w:tc>
          <w:tcPr>
            <w:tcW w:type="dxa" w:w="2351"/>
            <w:shd w:val="clear" w:color="auto" w:fill="EAF0FB"/>
          </w:tcPr>
          <w:p>
            <w:pPr>
              <w:jc w:val="left"/>
            </w:pPr>
            <w:r>
              <w:rPr>
                <w:sz w:val="18"/>
              </w:rPr>
              <w:t>Preparación del reporte para reunión directiva</w:t>
            </w:r>
          </w:p>
        </w:tc>
        <w:tc>
          <w:tcPr>
            <w:tcW w:type="dxa" w:w="2351"/>
            <w:shd w:val="clear" w:color="auto" w:fill="EAF0FB"/>
          </w:tcPr>
          <w:p>
            <w:pPr>
              <w:jc w:val="center"/>
            </w:pPr>
            <w:r>
              <w:rPr>
                <w:sz w:val="18"/>
              </w:rPr>
              <w:t>16 h</w:t>
            </w:r>
          </w:p>
        </w:tc>
        <w:tc>
          <w:tcPr>
            <w:tcW w:type="dxa" w:w="2351"/>
            <w:shd w:val="clear" w:color="auto" w:fill="EAF0FB"/>
          </w:tcPr>
          <w:p>
            <w:pPr>
              <w:jc w:val="center"/>
            </w:pPr>
            <w:r>
              <w:rPr>
                <w:sz w:val="18"/>
              </w:rPr>
              <w:t>0 h — ELIMINADO</w:t>
            </w:r>
          </w:p>
        </w:tc>
      </w:tr>
      <w:tr>
        <w:tc>
          <w:tcPr>
            <w:tcW w:type="dxa" w:w="2351"/>
            <w:shd w:val="clear" w:color="auto" w:fill="FFFFFF"/>
          </w:tcPr>
          <w:p>
            <w:pPr>
              <w:jc w:val="left"/>
            </w:pPr>
            <w:r>
              <w:rPr>
                <w:sz w:val="18"/>
              </w:rPr>
              <w:t>H5</w:t>
            </w:r>
          </w:p>
        </w:tc>
        <w:tc>
          <w:tcPr>
            <w:tcW w:type="dxa" w:w="2351"/>
            <w:shd w:val="clear" w:color="auto" w:fill="FFFFFF"/>
          </w:tcPr>
          <w:p>
            <w:pPr>
              <w:jc w:val="left"/>
            </w:pPr>
            <w:r>
              <w:rPr>
                <w:sz w:val="18"/>
              </w:rPr>
              <w:t>Revisión por Líder antes de escalar</w:t>
            </w:r>
          </w:p>
        </w:tc>
        <w:tc>
          <w:tcPr>
            <w:tcW w:type="dxa" w:w="2351"/>
            <w:shd w:val="clear" w:color="auto" w:fill="FFFFFF"/>
          </w:tcPr>
          <w:p>
            <w:pPr>
              <w:jc w:val="center"/>
            </w:pPr>
            <w:r>
              <w:rPr>
                <w:sz w:val="18"/>
              </w:rPr>
              <w:t>4 h</w:t>
            </w:r>
          </w:p>
        </w:tc>
        <w:tc>
          <w:tcPr>
            <w:tcW w:type="dxa" w:w="2351"/>
            <w:shd w:val="clear" w:color="auto" w:fill="FFFFFF"/>
          </w:tcPr>
          <w:p>
            <w:pPr>
              <w:jc w:val="center"/>
            </w:pPr>
            <w:r>
              <w:rPr>
                <w:sz w:val="18"/>
              </w:rPr>
              <w:t>3 h — info disponible RT</w:t>
            </w:r>
          </w:p>
        </w:tc>
      </w:tr>
      <w:tr>
        <w:tc>
          <w:tcPr>
            <w:tcW w:type="dxa" w:w="2351"/>
            <w:shd w:val="clear" w:color="auto" w:fill="EAF0FB"/>
          </w:tcPr>
          <w:p>
            <w:pPr>
              <w:jc w:val="left"/>
            </w:pPr>
            <w:r>
              <w:rPr>
                <w:sz w:val="18"/>
              </w:rPr>
              <w:t>H6</w:t>
            </w:r>
          </w:p>
        </w:tc>
        <w:tc>
          <w:tcPr>
            <w:tcW w:type="dxa" w:w="2351"/>
            <w:shd w:val="clear" w:color="auto" w:fill="EAF0FB"/>
          </w:tcPr>
          <w:p>
            <w:pPr>
              <w:jc w:val="left"/>
            </w:pPr>
            <w:r>
              <w:rPr>
                <w:sz w:val="18"/>
              </w:rPr>
              <w:t>Escalamiento y decisión del equipo directivo</w:t>
            </w:r>
          </w:p>
        </w:tc>
        <w:tc>
          <w:tcPr>
            <w:tcW w:type="dxa" w:w="2351"/>
            <w:shd w:val="clear" w:color="auto" w:fill="EAF0FB"/>
          </w:tcPr>
          <w:p>
            <w:pPr>
              <w:jc w:val="center"/>
            </w:pPr>
            <w:r>
              <w:rPr>
                <w:sz w:val="18"/>
              </w:rPr>
              <w:t>4 h</w:t>
            </w:r>
          </w:p>
        </w:tc>
        <w:tc>
          <w:tcPr>
            <w:tcW w:type="dxa" w:w="2351"/>
            <w:shd w:val="clear" w:color="auto" w:fill="EAF0FB"/>
          </w:tcPr>
          <w:p>
            <w:pPr>
              <w:jc w:val="center"/>
            </w:pPr>
            <w:r>
              <w:rPr>
                <w:sz w:val="18"/>
              </w:rPr>
              <w:t>11,5 h — decisión informada</w:t>
            </w:r>
          </w:p>
        </w:tc>
      </w:tr>
      <w:tr>
        <w:tc>
          <w:tcPr>
            <w:tcW w:type="dxa" w:w="2351"/>
            <w:shd w:val="clear" w:color="auto" w:fill="FFFFFF"/>
          </w:tcPr>
          <w:p>
            <w:pPr>
              <w:jc w:val="left"/>
            </w:pPr>
            <w:r>
              <w:rPr>
                <w:sz w:val="18"/>
              </w:rPr>
              <w:t>TOTAL</w:t>
            </w:r>
          </w:p>
        </w:tc>
        <w:tc>
          <w:tcPr>
            <w:tcW w:type="dxa" w:w="2351"/>
            <w:shd w:val="clear" w:color="auto" w:fill="FFFFFF"/>
          </w:tcPr>
          <w:p>
            <w:pPr>
              <w:jc w:val="left"/>
            </w:pPr>
            <w:r>
              <w:rPr>
                <w:sz w:val="18"/>
              </w:rPr>
            </w:r>
          </w:p>
        </w:tc>
        <w:tc>
          <w:tcPr>
            <w:tcW w:type="dxa" w:w="2351"/>
            <w:shd w:val="clear" w:color="auto" w:fill="FFFFFF"/>
          </w:tcPr>
          <w:p>
            <w:pPr>
              <w:jc w:val="center"/>
            </w:pPr>
            <w:r>
              <w:rPr>
                <w:sz w:val="18"/>
              </w:rPr>
              <w:t>48 h hábiles</w:t>
            </w:r>
          </w:p>
        </w:tc>
        <w:tc>
          <w:tcPr>
            <w:tcW w:type="dxa" w:w="2351"/>
            <w:shd w:val="clear" w:color="auto" w:fill="FFFFFF"/>
          </w:tcPr>
          <w:p>
            <w:pPr>
              <w:jc w:val="center"/>
            </w:pPr>
            <w:r>
              <w:rPr>
                <w:sz w:val="18"/>
              </w:rPr>
              <w:t>16 h hábiles</w:t>
            </w:r>
          </w:p>
        </w:tc>
      </w:tr>
    </w:tbl>
    <w:p>
      <w:pPr>
        <w:spacing w:before="0" w:after="120"/>
      </w:pPr>
    </w:p>
    <w:p>
      <w:pPr>
        <w:spacing w:after="80"/>
        <w:jc w:val="left"/>
        <w:pBdr>
          <w:bottom w:val="single" w:sz="6" w:space="1" w:color="1a3a5c"/>
        </w:pBdr>
      </w:pPr>
      <w:r>
        <w:rPr>
          <w:b/>
          <w:color w:val="1A3A5C"/>
          <w:sz w:val="26"/>
        </w:rPr>
        <w:t>3. Métricas del Indicador</w:t>
      </w:r>
    </w:p>
    <w:p>
      <w:pPr>
        <w:spacing w:before="0" w:after="40"/>
      </w:pPr>
    </w:p>
    <w:tbl>
      <w:tblPr>
        <w:tblStyle w:val="TableGrid"/>
        <w:tblW w:type="auto" w:w="0"/>
        <w:jc w:val="center"/>
        <w:tblLook w:firstColumn="1" w:firstRow="1" w:lastColumn="0" w:lastRow="0" w:noHBand="0" w:noVBand="1" w:val="04A0"/>
      </w:tblPr>
      <w:tblGrid>
        <w:gridCol w:w="1881"/>
        <w:gridCol w:w="1881"/>
        <w:gridCol w:w="1881"/>
        <w:gridCol w:w="1881"/>
        <w:gridCol w:w="1881"/>
      </w:tblGrid>
      <w:tr>
        <w:trPr>
          <w:trHeight w:val="397"/>
        </w:trPr>
        <w:tc>
          <w:tcPr>
            <w:tcW w:type="dxa" w:w="1881"/>
            <w:shd w:val="clear" w:color="auto" w:fill="C0392B"/>
            <w:vAlign w:val="center"/>
          </w:tcPr>
          <w:p>
            <w:pPr>
              <w:jc w:val="center"/>
            </w:pPr>
            <w:r>
              <w:rPr>
                <w:b/>
                <w:color w:val="FFFFFF"/>
                <w:sz w:val="18"/>
              </w:rPr>
              <w:t>Línea Base</w:t>
            </w:r>
          </w:p>
        </w:tc>
        <w:tc>
          <w:tcPr>
            <w:tcW w:type="dxa" w:w="1881"/>
            <w:shd w:val="clear" w:color="auto" w:fill="1A3A5C"/>
            <w:vAlign w:val="center"/>
          </w:tcPr>
          <w:p>
            <w:pPr>
              <w:jc w:val="center"/>
            </w:pPr>
            <w:r>
              <w:rPr>
                <w:b/>
                <w:color w:val="FFFFFF"/>
                <w:sz w:val="18"/>
              </w:rPr>
              <w:t>Mes de la Medición</w:t>
            </w:r>
          </w:p>
        </w:tc>
        <w:tc>
          <w:tcPr>
            <w:tcW w:type="dxa" w:w="1881"/>
            <w:shd w:val="clear" w:color="auto" w:fill="27AE60"/>
            <w:vAlign w:val="center"/>
          </w:tcPr>
          <w:p>
            <w:pPr>
              <w:jc w:val="center"/>
            </w:pPr>
            <w:r>
              <w:rPr>
                <w:b/>
                <w:color w:val="FFFFFF"/>
                <w:sz w:val="18"/>
              </w:rPr>
              <w:t>Meta del Indicador</w:t>
            </w:r>
          </w:p>
        </w:tc>
        <w:tc>
          <w:tcPr>
            <w:tcW w:type="dxa" w:w="1881"/>
            <w:shd w:val="clear" w:color="auto" w:fill="C0392B"/>
            <w:vAlign w:val="center"/>
          </w:tcPr>
          <w:p>
            <w:pPr>
              <w:jc w:val="center"/>
            </w:pPr>
            <w:r>
              <w:rPr>
                <w:b/>
                <w:color w:val="FFFFFF"/>
                <w:sz w:val="18"/>
              </w:rPr>
              <w:t>Variación Esperada</w:t>
            </w:r>
          </w:p>
        </w:tc>
        <w:tc>
          <w:tcPr>
            <w:tcW w:type="dxa" w:w="1881"/>
            <w:shd w:val="clear" w:color="auto" w:fill="5D6D7E"/>
            <w:vAlign w:val="center"/>
          </w:tcPr>
          <w:p>
            <w:pPr>
              <w:jc w:val="center"/>
            </w:pPr>
            <w:r>
              <w:rPr>
                <w:b/>
                <w:color w:val="FFFFFF"/>
                <w:sz w:val="18"/>
              </w:rPr>
              <w:t>Unidad de Medida</w:t>
            </w:r>
          </w:p>
        </w:tc>
      </w:tr>
      <w:tr>
        <w:trPr>
          <w:trHeight w:val="397"/>
        </w:trPr>
        <w:tc>
          <w:tcPr>
            <w:tcW w:type="dxa" w:w="1881"/>
            <w:shd w:val="clear" w:color="auto" w:fill="F7F9FC"/>
            <w:vAlign w:val="center"/>
          </w:tcPr>
          <w:p>
            <w:pPr>
              <w:jc w:val="center"/>
            </w:pPr>
            <w:r>
              <w:rPr>
                <w:b/>
                <w:color w:val="C0392B"/>
                <w:sz w:val="26"/>
              </w:rPr>
              <w:t>48,00</w:t>
            </w:r>
          </w:p>
        </w:tc>
        <w:tc>
          <w:tcPr>
            <w:tcW w:type="dxa" w:w="1881"/>
            <w:shd w:val="clear" w:color="auto" w:fill="F7F9FC"/>
            <w:vAlign w:val="center"/>
          </w:tcPr>
          <w:p>
            <w:pPr>
              <w:jc w:val="center"/>
            </w:pPr>
            <w:r>
              <w:rPr>
                <w:b/>
                <w:color w:val="1A3A5C"/>
                <w:sz w:val="26"/>
              </w:rPr>
              <w:t>Marzo de 2026</w:t>
            </w:r>
          </w:p>
        </w:tc>
        <w:tc>
          <w:tcPr>
            <w:tcW w:type="dxa" w:w="1881"/>
            <w:shd w:val="clear" w:color="auto" w:fill="F7F9FC"/>
            <w:vAlign w:val="center"/>
          </w:tcPr>
          <w:p>
            <w:pPr>
              <w:jc w:val="center"/>
            </w:pPr>
            <w:r>
              <w:rPr>
                <w:b/>
                <w:color w:val="27AE60"/>
                <w:sz w:val="26"/>
              </w:rPr>
              <w:t>16,00</w:t>
            </w:r>
          </w:p>
        </w:tc>
        <w:tc>
          <w:tcPr>
            <w:tcW w:type="dxa" w:w="1881"/>
            <w:shd w:val="clear" w:color="auto" w:fill="F7F9FC"/>
            <w:vAlign w:val="center"/>
          </w:tcPr>
          <w:p>
            <w:pPr>
              <w:jc w:val="center"/>
            </w:pPr>
            <w:r>
              <w:rPr>
                <w:b/>
                <w:color w:val="C0392B"/>
                <w:sz w:val="26"/>
              </w:rPr>
              <w:t>-66,67 %</w:t>
            </w:r>
          </w:p>
        </w:tc>
        <w:tc>
          <w:tcPr>
            <w:tcW w:type="dxa" w:w="1881"/>
            <w:shd w:val="clear" w:color="auto" w:fill="F7F9FC"/>
            <w:vAlign w:val="center"/>
          </w:tcPr>
          <w:p>
            <w:pPr>
              <w:jc w:val="center"/>
            </w:pPr>
            <w:r>
              <w:rPr>
                <w:b/>
                <w:color w:val="5D6D7E"/>
                <w:sz w:val="26"/>
              </w:rPr>
              <w:t>Horas hábiles (jornada de 8 horas)</w:t>
            </w:r>
          </w:p>
        </w:tc>
      </w:tr>
    </w:tbl>
    <w:p>
      <w:pPr>
        <w:spacing w:before="0" w:after="120"/>
      </w:pPr>
    </w:p>
    <w:p>
      <w:pPr>
        <w:spacing w:after="80"/>
        <w:jc w:val="left"/>
        <w:pBdr>
          <w:bottom w:val="single" w:sz="6" w:space="1" w:color="1a3a5c"/>
        </w:pBdr>
      </w:pPr>
      <w:r>
        <w:rPr>
          <w:b/>
          <w:color w:val="1A3A5C"/>
          <w:sz w:val="26"/>
        </w:rPr>
        <w:t>4. Entregable de Soporte</w:t>
      </w:r>
    </w:p>
    <w:p>
      <w:pPr>
        <w:spacing w:after="40"/>
        <w:ind w:left="283"/>
      </w:pPr>
      <w:r>
        <w:rPr>
          <w:b w:val="0"/>
          <w:i/>
          <w:color w:val="154360"/>
          <w:sz w:val="20"/>
          <w:u w:val="none"/>
        </w:rPr>
        <w:t>VSM_CNTXT_PT2.xlsx | VSM_TCP_CNTXT.png</w:t>
      </w:r>
    </w:p>
    <w:p>
      <w:r>
        <w:br w:type="page"/>
      </w:r>
    </w:p>
    <w:tbl>
      <w:tblPr>
        <w:tblStyle w:val="TableGrid"/>
        <w:tblW w:type="auto" w:w="0"/>
        <w:jc w:val="left"/>
        <w:tblLook w:firstColumn="1" w:firstRow="1" w:lastColumn="0" w:lastRow="0" w:noHBand="0" w:noVBand="1" w:val="04A0"/>
      </w:tblPr>
      <w:tblGrid>
        <w:gridCol w:w="7370"/>
        <w:gridCol w:w="2268"/>
      </w:tblGrid>
      <w:tr>
        <w:trPr>
          <w:trHeight w:val="425"/>
        </w:trPr>
        <w:tc>
          <w:tcPr>
            <w:tcW w:type="dxa" w:w="4703"/>
            <w:shd w:val="clear" w:color="auto" w:fill="2471A3"/>
          </w:tcPr>
          <w:p>
            <w:pPr>
              <w:jc w:val="left"/>
            </w:pPr>
            <w:r>
              <w:rPr>
                <w:b/>
                <w:color w:val="FFFFFF"/>
                <w:sz w:val="24"/>
              </w:rPr>
              <w:t xml:space="preserve">  IPT-3  —  Ahorro Generado en Reducción de Desperdicios Operativos (AD)</w:t>
            </w:r>
          </w:p>
        </w:tc>
        <w:tc>
          <w:tcPr>
            <w:tcW w:type="dxa" w:w="4703"/>
            <w:shd w:val="clear" w:color="auto" w:fill="2471A3"/>
          </w:tcPr>
          <w:p>
            <w:pPr>
              <w:jc w:val="right"/>
            </w:pPr>
            <w:r>
              <w:rPr>
                <w:color w:val="FFFFFF"/>
                <w:sz w:val="18"/>
              </w:rPr>
              <w:t xml:space="preserve">[ Variable ]  </w:t>
            </w:r>
          </w:p>
        </w:tc>
      </w:tr>
    </w:tbl>
    <w:p>
      <w:pPr>
        <w:spacing w:before="0" w:after="120"/>
      </w:pPr>
    </w:p>
    <w:p>
      <w:pPr>
        <w:spacing w:after="80"/>
        <w:jc w:val="left"/>
        <w:pBdr>
          <w:bottom w:val="single" w:sz="6" w:space="1" w:color="1a3a5c"/>
        </w:pBdr>
      </w:pPr>
      <w:r>
        <w:rPr>
          <w:b/>
          <w:color w:val="1A3A5C"/>
          <w:sz w:val="26"/>
        </w:rPr>
        <w:t>1. Nombre del Indicador</w:t>
      </w:r>
    </w:p>
    <w:p>
      <w:pPr>
        <w:spacing w:after="80"/>
        <w:ind w:left="283"/>
      </w:pPr>
      <w:r>
        <w:rPr>
          <w:b/>
          <w:i w:val="0"/>
          <w:color w:val="1A3A5C"/>
          <w:sz w:val="22"/>
          <w:u w:val="none"/>
        </w:rPr>
        <w:t>Ahorro Generado en Reducción de Desperdicios Operativos (AD)</w:t>
      </w:r>
    </w:p>
    <w:p>
      <w:pPr>
        <w:spacing w:before="0" w:after="80"/>
      </w:pPr>
    </w:p>
    <w:p>
      <w:pPr>
        <w:spacing w:after="80"/>
        <w:jc w:val="left"/>
        <w:pBdr>
          <w:bottom w:val="single" w:sz="6" w:space="1" w:color="1a3a5c"/>
        </w:pBdr>
      </w:pPr>
      <w:r>
        <w:rPr>
          <w:b/>
          <w:color w:val="1A3A5C"/>
          <w:sz w:val="26"/>
        </w:rPr>
        <w:t>2. Cálculo de la Medición</w:t>
      </w:r>
    </w:p>
    <w:p>
      <w:pPr>
        <w:spacing w:before="20" w:after="20"/>
        <w:ind w:left="283"/>
      </w:pPr>
      <w:r>
        <w:rPr>
          <w:b w:val="0"/>
          <w:i w:val="0"/>
          <w:sz w:val="20"/>
          <w:u w:val="none"/>
        </w:rPr>
        <w:t>La medición cuantifica en pesos colombianos el costo mensual de las actividades que no agregan valor (TNVA), clasificadas en el VSM por perfil involucrado en el proceso de gestión de proyectos. El costo se calcula multiplicando las horas TNVA mensuales de cada perfil por su costo por hora real. Base jornada: 182 horas laborales mensuales (42 h/semana, Ley 2101 de 2021). El alcance se mantendrá idéntico en las mediciones intermedia y de salida.</w:t>
      </w:r>
    </w:p>
    <w:p>
      <w:pPr>
        <w:spacing w:before="20" w:after="20"/>
        <w:ind w:left="283"/>
      </w:pPr>
      <w:r>
        <w:rPr>
          <w:b w:val="0"/>
          <w:i w:val="0"/>
          <w:sz w:val="20"/>
          <w:u w:val="none"/>
        </w:rPr>
      </w:r>
    </w:p>
    <w:p>
      <w:pPr>
        <w:spacing w:before="20" w:after="20"/>
        <w:ind w:left="283"/>
      </w:pPr>
      <w:r>
        <w:rPr>
          <w:b w:val="0"/>
          <w:i w:val="0"/>
          <w:sz w:val="20"/>
          <w:u w:val="none"/>
        </w:rPr>
        <w:t>Fórmula aplicada: AD = Σ (Horas TNVA mensuales del perfil × Costo por hora del perfil).</w:t>
      </w:r>
    </w:p>
    <w:p>
      <w:pPr>
        <w:spacing w:before="20" w:after="20"/>
        <w:ind w:left="283"/>
      </w:pPr>
      <w:r>
        <w:rPr>
          <w:b w:val="0"/>
          <w:i w:val="0"/>
          <w:sz w:val="20"/>
          <w:u w:val="none"/>
        </w:rPr>
      </w:r>
    </w:p>
    <w:p>
      <w:pPr>
        <w:spacing w:before="20" w:after="20"/>
        <w:ind w:left="283"/>
      </w:pPr>
      <w:r>
        <w:rPr>
          <w:b w:val="0"/>
          <w:i w:val="0"/>
          <w:sz w:val="20"/>
          <w:u w:val="none"/>
        </w:rPr>
        <w:t>Las horas TNVA semanales por perfil provienen de la asignación de actividades NVA del VSM, convertidas a mensuales con el factor 4,33 sem/mes (4,33 = 52 semanas ÷ 12 meses). Fórmula: h/mes = min/sem × 4,33 ÷ 60. Los costos por hora se calculan dividiendo honorarios mensuales entre 182 horas (Ley 2101/2021).</w:t>
      </w:r>
    </w:p>
    <w:p>
      <w:pPr>
        <w:spacing w:before="20" w:after="20"/>
        <w:ind w:left="283"/>
      </w:pPr>
      <w:r>
        <w:rPr>
          <w:b w:val="0"/>
          <w:i w:val="0"/>
          <w:sz w:val="20"/>
          <w:u w:val="none"/>
        </w:rPr>
      </w:r>
    </w:p>
    <w:p>
      <w:pPr>
        <w:spacing w:before="20" w:after="20"/>
        <w:ind w:left="283"/>
      </w:pPr>
      <w:r>
        <w:rPr>
          <w:b w:val="0"/>
          <w:i w:val="0"/>
          <w:sz w:val="20"/>
          <w:u w:val="none"/>
        </w:rPr>
        <w:t xml:space="preserve">  • Perfil 1 — Líder de Proyecto (Mike):</w:t>
      </w:r>
    </w:p>
    <w:p>
      <w:pPr>
        <w:spacing w:before="20" w:after="20"/>
        <w:ind w:left="283"/>
      </w:pPr>
      <w:r>
        <w:rPr>
          <w:b w:val="0"/>
          <w:i w:val="0"/>
          <w:sz w:val="20"/>
          <w:u w:val="none"/>
        </w:rPr>
        <w:t xml:space="preserve">    Actividades NVA: NVA 1 (75 min/sem) + NVA 2 (100 min/sem) + NVA 3 (45 min/sem) + NVA 4 (30 min/sem) = 250 min/sem.</w:t>
      </w:r>
    </w:p>
    <w:p>
      <w:pPr>
        <w:spacing w:before="20" w:after="20"/>
        <w:ind w:left="283"/>
      </w:pPr>
      <w:r>
        <w:rPr>
          <w:b w:val="0"/>
          <w:i w:val="0"/>
          <w:sz w:val="20"/>
          <w:u w:val="none"/>
        </w:rPr>
        <w:t xml:space="preserve">    Mensual: 250 × 4,33 ÷ 60 = 1.082,50 min/mes ÷ 60 = 18,04 h/mes.</w:t>
      </w:r>
    </w:p>
    <w:p>
      <w:pPr>
        <w:spacing w:before="20" w:after="20"/>
        <w:ind w:left="283"/>
      </w:pPr>
      <w:r>
        <w:rPr>
          <w:b w:val="0"/>
          <w:i w:val="0"/>
          <w:sz w:val="20"/>
          <w:u w:val="none"/>
        </w:rPr>
        <w:t xml:space="preserve">    Costo/hora: $4.500.000 ÷ 182 = $24.725/hora.</w:t>
      </w:r>
    </w:p>
    <w:p>
      <w:pPr>
        <w:spacing w:before="20" w:after="20"/>
        <w:ind w:left="283"/>
      </w:pPr>
      <w:r>
        <w:rPr>
          <w:b w:val="0"/>
          <w:i w:val="0"/>
          <w:sz w:val="20"/>
          <w:u w:val="none"/>
        </w:rPr>
        <w:t xml:space="preserve">    Costo TNVA mensual Líder: 18,04 × $24.725 = $446.039/mes.</w:t>
      </w:r>
    </w:p>
    <w:p>
      <w:pPr>
        <w:spacing w:before="20" w:after="20"/>
        <w:ind w:left="283"/>
      </w:pPr>
      <w:r>
        <w:rPr>
          <w:b w:val="0"/>
          <w:i w:val="0"/>
          <w:sz w:val="20"/>
          <w:u w:val="none"/>
        </w:rPr>
      </w:r>
    </w:p>
    <w:p>
      <w:pPr>
        <w:spacing w:before="20" w:after="20"/>
        <w:ind w:left="283"/>
      </w:pPr>
      <w:r>
        <w:rPr>
          <w:b w:val="0"/>
          <w:i w:val="0"/>
          <w:sz w:val="20"/>
          <w:u w:val="none"/>
        </w:rPr>
        <w:t xml:space="preserve">  • Perfil 2 — Director Ejecutivo (Simón):</w:t>
      </w:r>
    </w:p>
    <w:p>
      <w:pPr>
        <w:spacing w:before="20" w:after="20"/>
        <w:ind w:left="283"/>
      </w:pPr>
      <w:r>
        <w:rPr>
          <w:b w:val="0"/>
          <w:i w:val="0"/>
          <w:sz w:val="20"/>
          <w:u w:val="none"/>
        </w:rPr>
        <w:t xml:space="preserve">    Actividades NVA: NVA 5 (reconciliación manual de costos: 30 min/sem).</w:t>
      </w:r>
    </w:p>
    <w:p>
      <w:pPr>
        <w:spacing w:before="20" w:after="20"/>
        <w:ind w:left="283"/>
      </w:pPr>
      <w:r>
        <w:rPr>
          <w:b w:val="0"/>
          <w:i w:val="0"/>
          <w:sz w:val="20"/>
          <w:u w:val="none"/>
        </w:rPr>
        <w:t xml:space="preserve">    Mensual: 30 × 4,33 ÷ 60 = 129,90 min/mes ÷ 60 = 2,17 h/mes.</w:t>
      </w:r>
    </w:p>
    <w:p>
      <w:pPr>
        <w:spacing w:before="20" w:after="20"/>
        <w:ind w:left="283"/>
      </w:pPr>
      <w:r>
        <w:rPr>
          <w:b w:val="0"/>
          <w:i w:val="0"/>
          <w:sz w:val="20"/>
          <w:u w:val="none"/>
        </w:rPr>
        <w:t xml:space="preserve">    Costo/hora: $8.000.000 ÷ 182 = $43.956/hora.</w:t>
      </w:r>
    </w:p>
    <w:p>
      <w:pPr>
        <w:spacing w:before="20" w:after="20"/>
        <w:ind w:left="283"/>
      </w:pPr>
      <w:r>
        <w:rPr>
          <w:b w:val="0"/>
          <w:i w:val="0"/>
          <w:sz w:val="20"/>
          <w:u w:val="none"/>
        </w:rPr>
        <w:t xml:space="preserve">    Costo TNVA mensual Director Ejecutivo: 2,17 × $43.956 = $95.385/mes.</w:t>
      </w:r>
    </w:p>
    <w:p>
      <w:pPr>
        <w:spacing w:before="20" w:after="20"/>
        <w:ind w:left="283"/>
      </w:pPr>
      <w:r>
        <w:rPr>
          <w:b w:val="0"/>
          <w:i w:val="0"/>
          <w:sz w:val="20"/>
          <w:u w:val="none"/>
        </w:rPr>
      </w:r>
    </w:p>
    <w:p>
      <w:pPr>
        <w:spacing w:before="20" w:after="20"/>
        <w:ind w:left="283"/>
      </w:pPr>
      <w:r>
        <w:rPr>
          <w:b w:val="0"/>
          <w:i w:val="0"/>
          <w:sz w:val="20"/>
          <w:u w:val="none"/>
        </w:rPr>
        <w:t xml:space="preserve">  • Perfil 3 — Director Creativo (Juan Pablo):</w:t>
      </w:r>
    </w:p>
    <w:p>
      <w:pPr>
        <w:spacing w:before="20" w:after="20"/>
        <w:ind w:left="283"/>
      </w:pPr>
      <w:r>
        <w:rPr>
          <w:b w:val="0"/>
          <w:i w:val="0"/>
          <w:sz w:val="20"/>
          <w:u w:val="none"/>
        </w:rPr>
        <w:t xml:space="preserve">    Actividades NVA asignadas: ninguna (perfil con participación exclusiva en actividades de valor agregado).</w:t>
      </w:r>
    </w:p>
    <w:p>
      <w:pPr>
        <w:spacing w:before="20" w:after="20"/>
        <w:ind w:left="283"/>
      </w:pPr>
      <w:r>
        <w:rPr>
          <w:b w:val="0"/>
          <w:i w:val="0"/>
          <w:sz w:val="20"/>
          <w:u w:val="none"/>
        </w:rPr>
        <w:t xml:space="preserve">    Costo TNVA mensual Director Creativo: $0/mes.</w:t>
      </w:r>
    </w:p>
    <w:p>
      <w:pPr>
        <w:spacing w:before="20" w:after="20"/>
        <w:ind w:left="283"/>
      </w:pPr>
      <w:r>
        <w:rPr>
          <w:b w:val="0"/>
          <w:i w:val="0"/>
          <w:sz w:val="20"/>
          <w:u w:val="none"/>
        </w:rPr>
      </w:r>
    </w:p>
    <w:p>
      <w:pPr>
        <w:spacing w:before="20" w:after="20"/>
        <w:ind w:left="283"/>
      </w:pPr>
      <w:r>
        <w:rPr>
          <w:b w:val="0"/>
          <w:i w:val="0"/>
          <w:sz w:val="20"/>
          <w:u w:val="none"/>
        </w:rPr>
        <w:t>AD línea base: $446.039 + $95.385 + $0 = $541.424/mes → reportado $541.000/mes (Marzo 2026).</w:t>
      </w:r>
    </w:p>
    <w:p>
      <w:pPr>
        <w:spacing w:before="20" w:after="20"/>
        <w:ind w:left="283"/>
      </w:pPr>
      <w:r>
        <w:rPr>
          <w:b w:val="0"/>
          <w:i w:val="0"/>
          <w:sz w:val="20"/>
          <w:u w:val="none"/>
        </w:rPr>
        <w:t>Meta AD: $541.000 × 0,65 = $351.650/mes → reportado $352.000/mes (−35 %).</w:t>
      </w:r>
    </w:p>
    <w:p>
      <w:pPr>
        <w:spacing w:before="20" w:after="20"/>
        <w:ind w:left="283"/>
      </w:pPr>
      <w:r>
        <w:rPr>
          <w:b w:val="0"/>
          <w:i w:val="0"/>
          <w:sz w:val="20"/>
          <w:u w:val="none"/>
        </w:rPr>
        <w:t>Ahorro mensual esperado: $189.000/mes.</w:t>
      </w:r>
    </w:p>
    <w:p>
      <w:pPr>
        <w:spacing w:before="0" w:after="80"/>
      </w:pP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2471A3"/>
          </w:tcPr>
          <w:p>
            <w:pPr>
              <w:jc w:val="center"/>
            </w:pPr>
            <w:r>
              <w:rPr>
                <w:b/>
                <w:color w:val="FFFFFF"/>
                <w:sz w:val="18"/>
              </w:rPr>
              <w:t>Perfil</w:t>
            </w:r>
          </w:p>
        </w:tc>
        <w:tc>
          <w:tcPr>
            <w:tcW w:type="dxa" w:w="1881"/>
            <w:shd w:val="clear" w:color="auto" w:fill="2471A3"/>
          </w:tcPr>
          <w:p>
            <w:pPr>
              <w:jc w:val="center"/>
            </w:pPr>
            <w:r>
              <w:rPr>
                <w:b/>
                <w:color w:val="FFFFFF"/>
                <w:sz w:val="18"/>
              </w:rPr>
              <w:t>Actividades NVA (min/sem)</w:t>
            </w:r>
          </w:p>
        </w:tc>
        <w:tc>
          <w:tcPr>
            <w:tcW w:type="dxa" w:w="1881"/>
            <w:shd w:val="clear" w:color="auto" w:fill="2471A3"/>
          </w:tcPr>
          <w:p>
            <w:pPr>
              <w:jc w:val="center"/>
            </w:pPr>
            <w:r>
              <w:rPr>
                <w:b/>
                <w:color w:val="FFFFFF"/>
                <w:sz w:val="18"/>
              </w:rPr>
              <w:t>Horas TNVA/mes</w:t>
            </w:r>
          </w:p>
        </w:tc>
        <w:tc>
          <w:tcPr>
            <w:tcW w:type="dxa" w:w="1881"/>
            <w:shd w:val="clear" w:color="auto" w:fill="2471A3"/>
          </w:tcPr>
          <w:p>
            <w:pPr>
              <w:jc w:val="center"/>
            </w:pPr>
            <w:r>
              <w:rPr>
                <w:b/>
                <w:color w:val="FFFFFF"/>
                <w:sz w:val="18"/>
              </w:rPr>
              <w:t>Costo/hora (182 h)</w:t>
            </w:r>
          </w:p>
        </w:tc>
        <w:tc>
          <w:tcPr>
            <w:tcW w:type="dxa" w:w="1881"/>
            <w:shd w:val="clear" w:color="auto" w:fill="2471A3"/>
          </w:tcPr>
          <w:p>
            <w:pPr>
              <w:jc w:val="center"/>
            </w:pPr>
            <w:r>
              <w:rPr>
                <w:b/>
                <w:color w:val="FFFFFF"/>
                <w:sz w:val="18"/>
              </w:rPr>
              <w:t>Costo TNVA/mes</w:t>
            </w:r>
          </w:p>
        </w:tc>
      </w:tr>
      <w:tr>
        <w:tc>
          <w:tcPr>
            <w:tcW w:type="dxa" w:w="1881"/>
            <w:shd w:val="clear" w:color="auto" w:fill="FFFFFF"/>
          </w:tcPr>
          <w:p>
            <w:pPr>
              <w:jc w:val="left"/>
            </w:pPr>
            <w:r>
              <w:rPr>
                <w:sz w:val="18"/>
              </w:rPr>
              <w:t>Líder de Proyecto</w:t>
            </w:r>
          </w:p>
        </w:tc>
        <w:tc>
          <w:tcPr>
            <w:tcW w:type="dxa" w:w="1881"/>
            <w:shd w:val="clear" w:color="auto" w:fill="FFFFFF"/>
          </w:tcPr>
          <w:p>
            <w:pPr>
              <w:jc w:val="left"/>
            </w:pPr>
            <w:r>
              <w:rPr>
                <w:sz w:val="18"/>
              </w:rPr>
              <w:t>NVA 1+4+5+6  (250 min/sem)</w:t>
            </w:r>
          </w:p>
        </w:tc>
        <w:tc>
          <w:tcPr>
            <w:tcW w:type="dxa" w:w="1881"/>
            <w:shd w:val="clear" w:color="auto" w:fill="FFFFFF"/>
          </w:tcPr>
          <w:p>
            <w:pPr>
              <w:jc w:val="center"/>
            </w:pPr>
            <w:r>
              <w:rPr>
                <w:sz w:val="18"/>
              </w:rPr>
              <w:t>18,04 h  (250×4,33÷60)</w:t>
            </w:r>
          </w:p>
        </w:tc>
        <w:tc>
          <w:tcPr>
            <w:tcW w:type="dxa" w:w="1881"/>
            <w:shd w:val="clear" w:color="auto" w:fill="FFFFFF"/>
          </w:tcPr>
          <w:p>
            <w:pPr>
              <w:jc w:val="center"/>
            </w:pPr>
            <w:r>
              <w:rPr>
                <w:sz w:val="18"/>
              </w:rPr>
              <w:t>$24.725</w:t>
            </w:r>
          </w:p>
        </w:tc>
        <w:tc>
          <w:tcPr>
            <w:tcW w:type="dxa" w:w="1881"/>
            <w:shd w:val="clear" w:color="auto" w:fill="FFFFFF"/>
          </w:tcPr>
          <w:p>
            <w:pPr>
              <w:jc w:val="center"/>
            </w:pPr>
            <w:r>
              <w:rPr>
                <w:sz w:val="18"/>
              </w:rPr>
              <w:t>$446.039</w:t>
            </w:r>
          </w:p>
        </w:tc>
      </w:tr>
      <w:tr>
        <w:tc>
          <w:tcPr>
            <w:tcW w:type="dxa" w:w="1881"/>
            <w:shd w:val="clear" w:color="auto" w:fill="EAF0FB"/>
          </w:tcPr>
          <w:p>
            <w:pPr>
              <w:jc w:val="left"/>
            </w:pPr>
            <w:r>
              <w:rPr>
                <w:sz w:val="18"/>
              </w:rPr>
              <w:t>Director Ejecutivo</w:t>
            </w:r>
          </w:p>
        </w:tc>
        <w:tc>
          <w:tcPr>
            <w:tcW w:type="dxa" w:w="1881"/>
            <w:shd w:val="clear" w:color="auto" w:fill="EAF0FB"/>
          </w:tcPr>
          <w:p>
            <w:pPr>
              <w:jc w:val="left"/>
            </w:pPr>
            <w:r>
              <w:rPr>
                <w:sz w:val="18"/>
              </w:rPr>
              <w:t>NVA 7  (30 min/sem)</w:t>
            </w:r>
          </w:p>
        </w:tc>
        <w:tc>
          <w:tcPr>
            <w:tcW w:type="dxa" w:w="1881"/>
            <w:shd w:val="clear" w:color="auto" w:fill="EAF0FB"/>
          </w:tcPr>
          <w:p>
            <w:pPr>
              <w:jc w:val="center"/>
            </w:pPr>
            <w:r>
              <w:rPr>
                <w:sz w:val="18"/>
              </w:rPr>
              <w:t>2,17 h  (30×4,33÷60)</w:t>
            </w:r>
          </w:p>
        </w:tc>
        <w:tc>
          <w:tcPr>
            <w:tcW w:type="dxa" w:w="1881"/>
            <w:shd w:val="clear" w:color="auto" w:fill="EAF0FB"/>
          </w:tcPr>
          <w:p>
            <w:pPr>
              <w:jc w:val="center"/>
            </w:pPr>
            <w:r>
              <w:rPr>
                <w:sz w:val="18"/>
              </w:rPr>
              <w:t>$43.956</w:t>
            </w:r>
          </w:p>
        </w:tc>
        <w:tc>
          <w:tcPr>
            <w:tcW w:type="dxa" w:w="1881"/>
            <w:shd w:val="clear" w:color="auto" w:fill="EAF0FB"/>
          </w:tcPr>
          <w:p>
            <w:pPr>
              <w:jc w:val="center"/>
            </w:pPr>
            <w:r>
              <w:rPr>
                <w:sz w:val="18"/>
              </w:rPr>
              <w:t>$95.385</w:t>
            </w:r>
          </w:p>
        </w:tc>
      </w:tr>
      <w:tr>
        <w:tc>
          <w:tcPr>
            <w:tcW w:type="dxa" w:w="1881"/>
            <w:shd w:val="clear" w:color="auto" w:fill="FFFFFF"/>
          </w:tcPr>
          <w:p>
            <w:pPr>
              <w:jc w:val="left"/>
            </w:pPr>
            <w:r>
              <w:rPr>
                <w:sz w:val="18"/>
              </w:rPr>
              <w:t>Director Creativo</w:t>
            </w:r>
          </w:p>
        </w:tc>
        <w:tc>
          <w:tcPr>
            <w:tcW w:type="dxa" w:w="1881"/>
            <w:shd w:val="clear" w:color="auto" w:fill="FFFFFF"/>
          </w:tcPr>
          <w:p>
            <w:pPr>
              <w:jc w:val="left"/>
            </w:pPr>
            <w:r>
              <w:rPr>
                <w:sz w:val="18"/>
              </w:rPr>
              <w:t>Ninguna (solo VA)</w:t>
            </w:r>
          </w:p>
        </w:tc>
        <w:tc>
          <w:tcPr>
            <w:tcW w:type="dxa" w:w="1881"/>
            <w:shd w:val="clear" w:color="auto" w:fill="FFFFFF"/>
          </w:tcPr>
          <w:p>
            <w:pPr>
              <w:jc w:val="center"/>
            </w:pPr>
            <w:r>
              <w:rPr>
                <w:sz w:val="18"/>
              </w:rPr>
              <w:t>0,00 h</w:t>
            </w:r>
          </w:p>
        </w:tc>
        <w:tc>
          <w:tcPr>
            <w:tcW w:type="dxa" w:w="1881"/>
            <w:shd w:val="clear" w:color="auto" w:fill="FFFFFF"/>
          </w:tcPr>
          <w:p>
            <w:pPr>
              <w:jc w:val="center"/>
            </w:pPr>
            <w:r>
              <w:rPr>
                <w:sz w:val="18"/>
              </w:rPr>
              <w:t>$32.967</w:t>
            </w:r>
          </w:p>
        </w:tc>
        <w:tc>
          <w:tcPr>
            <w:tcW w:type="dxa" w:w="1881"/>
            <w:shd w:val="clear" w:color="auto" w:fill="FFFFFF"/>
          </w:tcPr>
          <w:p>
            <w:pPr>
              <w:jc w:val="center"/>
            </w:pPr>
            <w:r>
              <w:rPr>
                <w:sz w:val="18"/>
              </w:rPr>
              <w:t>$0</w:t>
            </w:r>
          </w:p>
        </w:tc>
      </w:tr>
      <w:tr>
        <w:tc>
          <w:tcPr>
            <w:tcW w:type="dxa" w:w="1881"/>
            <w:shd w:val="clear" w:color="auto" w:fill="EAF0FB"/>
          </w:tcPr>
          <w:p>
            <w:pPr>
              <w:jc w:val="left"/>
            </w:pPr>
            <w:r>
              <w:rPr>
                <w:sz w:val="18"/>
              </w:rPr>
              <w:t>TOTAL</w:t>
            </w:r>
          </w:p>
        </w:tc>
        <w:tc>
          <w:tcPr>
            <w:tcW w:type="dxa" w:w="1881"/>
            <w:shd w:val="clear" w:color="auto" w:fill="EAF0FB"/>
          </w:tcPr>
          <w:p>
            <w:pPr>
              <w:jc w:val="left"/>
            </w:pPr>
            <w:r>
              <w:rPr>
                <w:sz w:val="18"/>
              </w:rPr>
              <w:t>280 min/sem</w:t>
            </w:r>
          </w:p>
        </w:tc>
        <w:tc>
          <w:tcPr>
            <w:tcW w:type="dxa" w:w="1881"/>
            <w:shd w:val="clear" w:color="auto" w:fill="EAF0FB"/>
          </w:tcPr>
          <w:p>
            <w:pPr>
              <w:jc w:val="center"/>
            </w:pPr>
            <w:r>
              <w:rPr>
                <w:sz w:val="18"/>
              </w:rPr>
              <w:t>20,21 h</w:t>
            </w:r>
          </w:p>
        </w:tc>
        <w:tc>
          <w:tcPr>
            <w:tcW w:type="dxa" w:w="1881"/>
            <w:shd w:val="clear" w:color="auto" w:fill="EAF0FB"/>
          </w:tcPr>
          <w:p>
            <w:pPr>
              <w:jc w:val="center"/>
            </w:pPr>
            <w:r>
              <w:rPr>
                <w:sz w:val="18"/>
              </w:rPr>
            </w:r>
          </w:p>
        </w:tc>
        <w:tc>
          <w:tcPr>
            <w:tcW w:type="dxa" w:w="1881"/>
            <w:shd w:val="clear" w:color="auto" w:fill="EAF0FB"/>
          </w:tcPr>
          <w:p>
            <w:pPr>
              <w:jc w:val="center"/>
            </w:pPr>
            <w:r>
              <w:rPr>
                <w:sz w:val="18"/>
              </w:rPr>
              <w:t>$541.424 → reportado $541.000</w:t>
            </w:r>
          </w:p>
        </w:tc>
      </w:tr>
    </w:tbl>
    <w:p>
      <w:pPr>
        <w:spacing w:before="0" w:after="120"/>
      </w:pPr>
    </w:p>
    <w:p>
      <w:pPr>
        <w:spacing w:after="80"/>
        <w:jc w:val="left"/>
        <w:pBdr>
          <w:bottom w:val="single" w:sz="6" w:space="1" w:color="1a3a5c"/>
        </w:pBdr>
      </w:pPr>
      <w:r>
        <w:rPr>
          <w:b/>
          <w:color w:val="1A3A5C"/>
          <w:sz w:val="26"/>
        </w:rPr>
        <w:t>3. Métricas del Indicador</w:t>
      </w:r>
    </w:p>
    <w:p>
      <w:pPr>
        <w:spacing w:before="0" w:after="40"/>
      </w:pPr>
    </w:p>
    <w:tbl>
      <w:tblPr>
        <w:tblStyle w:val="TableGrid"/>
        <w:tblW w:type="auto" w:w="0"/>
        <w:jc w:val="center"/>
        <w:tblLook w:firstColumn="1" w:firstRow="1" w:lastColumn="0" w:lastRow="0" w:noHBand="0" w:noVBand="1" w:val="04A0"/>
      </w:tblPr>
      <w:tblGrid>
        <w:gridCol w:w="1881"/>
        <w:gridCol w:w="1881"/>
        <w:gridCol w:w="1881"/>
        <w:gridCol w:w="1881"/>
        <w:gridCol w:w="1881"/>
      </w:tblGrid>
      <w:tr>
        <w:trPr>
          <w:trHeight w:val="397"/>
        </w:trPr>
        <w:tc>
          <w:tcPr>
            <w:tcW w:type="dxa" w:w="1881"/>
            <w:shd w:val="clear" w:color="auto" w:fill="C0392B"/>
            <w:vAlign w:val="center"/>
          </w:tcPr>
          <w:p>
            <w:pPr>
              <w:jc w:val="center"/>
            </w:pPr>
            <w:r>
              <w:rPr>
                <w:b/>
                <w:color w:val="FFFFFF"/>
                <w:sz w:val="18"/>
              </w:rPr>
              <w:t>Línea Base</w:t>
            </w:r>
          </w:p>
        </w:tc>
        <w:tc>
          <w:tcPr>
            <w:tcW w:type="dxa" w:w="1881"/>
            <w:shd w:val="clear" w:color="auto" w:fill="1A3A5C"/>
            <w:vAlign w:val="center"/>
          </w:tcPr>
          <w:p>
            <w:pPr>
              <w:jc w:val="center"/>
            </w:pPr>
            <w:r>
              <w:rPr>
                <w:b/>
                <w:color w:val="FFFFFF"/>
                <w:sz w:val="18"/>
              </w:rPr>
              <w:t>Mes de la Medición</w:t>
            </w:r>
          </w:p>
        </w:tc>
        <w:tc>
          <w:tcPr>
            <w:tcW w:type="dxa" w:w="1881"/>
            <w:shd w:val="clear" w:color="auto" w:fill="27AE60"/>
            <w:vAlign w:val="center"/>
          </w:tcPr>
          <w:p>
            <w:pPr>
              <w:jc w:val="center"/>
            </w:pPr>
            <w:r>
              <w:rPr>
                <w:b/>
                <w:color w:val="FFFFFF"/>
                <w:sz w:val="18"/>
              </w:rPr>
              <w:t>Meta del Indicador</w:t>
            </w:r>
          </w:p>
        </w:tc>
        <w:tc>
          <w:tcPr>
            <w:tcW w:type="dxa" w:w="1881"/>
            <w:shd w:val="clear" w:color="auto" w:fill="2471A3"/>
            <w:vAlign w:val="center"/>
          </w:tcPr>
          <w:p>
            <w:pPr>
              <w:jc w:val="center"/>
            </w:pPr>
            <w:r>
              <w:rPr>
                <w:b/>
                <w:color w:val="FFFFFF"/>
                <w:sz w:val="18"/>
              </w:rPr>
              <w:t>Variación Esperada</w:t>
            </w:r>
          </w:p>
        </w:tc>
        <w:tc>
          <w:tcPr>
            <w:tcW w:type="dxa" w:w="1881"/>
            <w:shd w:val="clear" w:color="auto" w:fill="5D6D7E"/>
            <w:vAlign w:val="center"/>
          </w:tcPr>
          <w:p>
            <w:pPr>
              <w:jc w:val="center"/>
            </w:pPr>
            <w:r>
              <w:rPr>
                <w:b/>
                <w:color w:val="FFFFFF"/>
                <w:sz w:val="18"/>
              </w:rPr>
              <w:t>Unidad de Medida</w:t>
            </w:r>
          </w:p>
        </w:tc>
      </w:tr>
      <w:tr>
        <w:trPr>
          <w:trHeight w:val="397"/>
        </w:trPr>
        <w:tc>
          <w:tcPr>
            <w:tcW w:type="dxa" w:w="1881"/>
            <w:shd w:val="clear" w:color="auto" w:fill="F7F9FC"/>
            <w:vAlign w:val="center"/>
          </w:tcPr>
          <w:p>
            <w:pPr>
              <w:jc w:val="center"/>
            </w:pPr>
            <w:r>
              <w:rPr>
                <w:b/>
                <w:color w:val="C0392B"/>
                <w:sz w:val="26"/>
              </w:rPr>
              <w:t>541.000,00</w:t>
            </w:r>
          </w:p>
        </w:tc>
        <w:tc>
          <w:tcPr>
            <w:tcW w:type="dxa" w:w="1881"/>
            <w:shd w:val="clear" w:color="auto" w:fill="F7F9FC"/>
            <w:vAlign w:val="center"/>
          </w:tcPr>
          <w:p>
            <w:pPr>
              <w:jc w:val="center"/>
            </w:pPr>
            <w:r>
              <w:rPr>
                <w:b/>
                <w:color w:val="1A3A5C"/>
                <w:sz w:val="26"/>
              </w:rPr>
              <w:t>Marzo de 2026</w:t>
            </w:r>
          </w:p>
        </w:tc>
        <w:tc>
          <w:tcPr>
            <w:tcW w:type="dxa" w:w="1881"/>
            <w:shd w:val="clear" w:color="auto" w:fill="F7F9FC"/>
            <w:vAlign w:val="center"/>
          </w:tcPr>
          <w:p>
            <w:pPr>
              <w:jc w:val="center"/>
            </w:pPr>
            <w:r>
              <w:rPr>
                <w:b/>
                <w:color w:val="27AE60"/>
                <w:sz w:val="26"/>
              </w:rPr>
              <w:t>352.000,00</w:t>
            </w:r>
          </w:p>
        </w:tc>
        <w:tc>
          <w:tcPr>
            <w:tcW w:type="dxa" w:w="1881"/>
            <w:shd w:val="clear" w:color="auto" w:fill="F7F9FC"/>
            <w:vAlign w:val="center"/>
          </w:tcPr>
          <w:p>
            <w:pPr>
              <w:jc w:val="center"/>
            </w:pPr>
            <w:r>
              <w:rPr>
                <w:b/>
                <w:color w:val="2471A3"/>
                <w:sz w:val="26"/>
              </w:rPr>
              <w:t>-35,00 %</w:t>
            </w:r>
          </w:p>
        </w:tc>
        <w:tc>
          <w:tcPr>
            <w:tcW w:type="dxa" w:w="1881"/>
            <w:shd w:val="clear" w:color="auto" w:fill="F7F9FC"/>
            <w:vAlign w:val="center"/>
          </w:tcPr>
          <w:p>
            <w:pPr>
              <w:jc w:val="center"/>
            </w:pPr>
            <w:r>
              <w:rPr>
                <w:b/>
                <w:color w:val="5D6D7E"/>
                <w:sz w:val="26"/>
              </w:rPr>
              <w:t>Pesos colombianos por mes</w:t>
            </w:r>
          </w:p>
        </w:tc>
      </w:tr>
    </w:tbl>
    <w:p>
      <w:pPr>
        <w:spacing w:before="0" w:after="120"/>
      </w:pPr>
    </w:p>
    <w:p>
      <w:pPr>
        <w:spacing w:after="80"/>
        <w:jc w:val="left"/>
        <w:pBdr>
          <w:bottom w:val="single" w:sz="6" w:space="1" w:color="1a3a5c"/>
        </w:pBdr>
      </w:pPr>
      <w:r>
        <w:rPr>
          <w:b/>
          <w:color w:val="1A3A5C"/>
          <w:sz w:val="26"/>
        </w:rPr>
        <w:t>4. Entregable de Soporte</w:t>
      </w:r>
    </w:p>
    <w:p>
      <w:pPr>
        <w:spacing w:after="40"/>
        <w:ind w:left="283"/>
      </w:pPr>
      <w:r>
        <w:rPr>
          <w:b w:val="0"/>
          <w:i/>
          <w:color w:val="154360"/>
          <w:sz w:val="20"/>
          <w:u w:val="none"/>
        </w:rPr>
        <w:t>Reporte_Mediciones_CNTXT_PT2.xlsx (hoja IPT-3 AD)</w:t>
      </w:r>
    </w:p>
    <w:p>
      <w:r>
        <w:br w:type="page"/>
      </w:r>
    </w:p>
    <w:tbl>
      <w:tblPr>
        <w:tblStyle w:val="TableGrid"/>
        <w:tblW w:type="auto" w:w="0"/>
        <w:jc w:val="left"/>
        <w:tblLook w:firstColumn="1" w:firstRow="1" w:lastColumn="0" w:lastRow="0" w:noHBand="0" w:noVBand="1" w:val="04A0"/>
      </w:tblPr>
      <w:tblGrid>
        <w:gridCol w:w="7370"/>
        <w:gridCol w:w="2268"/>
      </w:tblGrid>
      <w:tr>
        <w:trPr>
          <w:trHeight w:val="425"/>
        </w:trPr>
        <w:tc>
          <w:tcPr>
            <w:tcW w:type="dxa" w:w="4703"/>
            <w:shd w:val="clear" w:color="auto" w:fill="2471A3"/>
          </w:tcPr>
          <w:p>
            <w:pPr>
              <w:jc w:val="left"/>
            </w:pPr>
            <w:r>
              <w:rPr>
                <w:b/>
                <w:color w:val="FFFFFF"/>
                <w:sz w:val="24"/>
              </w:rPr>
              <w:t xml:space="preserve">  IPT-4  —  Costo Unitario de Gestión Administrativa por Proyecto (CU)</w:t>
            </w:r>
          </w:p>
        </w:tc>
        <w:tc>
          <w:tcPr>
            <w:tcW w:type="dxa" w:w="4703"/>
            <w:shd w:val="clear" w:color="auto" w:fill="2471A3"/>
          </w:tcPr>
          <w:p>
            <w:pPr>
              <w:jc w:val="right"/>
            </w:pPr>
            <w:r>
              <w:rPr>
                <w:color w:val="FFFFFF"/>
                <w:sz w:val="18"/>
              </w:rPr>
              <w:t xml:space="preserve">[ Variable ]  </w:t>
            </w:r>
          </w:p>
        </w:tc>
      </w:tr>
    </w:tbl>
    <w:p>
      <w:pPr>
        <w:spacing w:before="0" w:after="120"/>
      </w:pPr>
    </w:p>
    <w:p>
      <w:pPr>
        <w:spacing w:after="80"/>
        <w:jc w:val="left"/>
        <w:pBdr>
          <w:bottom w:val="single" w:sz="6" w:space="1" w:color="1a3a5c"/>
        </w:pBdr>
      </w:pPr>
      <w:r>
        <w:rPr>
          <w:b/>
          <w:color w:val="1A3A5C"/>
          <w:sz w:val="26"/>
        </w:rPr>
        <w:t>1. Nombre del Indicador</w:t>
      </w:r>
    </w:p>
    <w:p>
      <w:pPr>
        <w:spacing w:after="80"/>
        <w:ind w:left="283"/>
      </w:pPr>
      <w:r>
        <w:rPr>
          <w:b/>
          <w:i w:val="0"/>
          <w:color w:val="1A3A5C"/>
          <w:sz w:val="22"/>
          <w:u w:val="none"/>
        </w:rPr>
        <w:t>Costo Unitario de Gestión Administrativa por Proyecto (CU)</w:t>
      </w:r>
    </w:p>
    <w:p>
      <w:pPr>
        <w:spacing w:before="0" w:after="80"/>
      </w:pPr>
    </w:p>
    <w:p>
      <w:pPr>
        <w:spacing w:after="80"/>
        <w:jc w:val="left"/>
        <w:pBdr>
          <w:bottom w:val="single" w:sz="6" w:space="1" w:color="1a3a5c"/>
        </w:pBdr>
      </w:pPr>
      <w:r>
        <w:rPr>
          <w:b/>
          <w:color w:val="1A3A5C"/>
          <w:sz w:val="26"/>
        </w:rPr>
        <w:t>2. Cálculo de la Medición</w:t>
      </w:r>
    </w:p>
    <w:p>
      <w:pPr>
        <w:spacing w:before="20" w:after="20"/>
        <w:ind w:left="283"/>
      </w:pPr>
      <w:r>
        <w:rPr>
          <w:b w:val="0"/>
          <w:i w:val="0"/>
          <w:sz w:val="20"/>
          <w:u w:val="none"/>
        </w:rPr>
        <w:t>La medición se realiza sobre el costo total de gestión del proceso productivo (actividades que agregan valor más actividades que no agregan valor) por cada proyecto activo por mes, para el portafolio de 13 proyectos activos simultáneos de CNTXT. El CT incluye todas las actividades de los tres perfiles del proceso según tiempos medidos en el VSM. El alcance se mantendrá idéntico en las mediciones intermedia y de salida.</w:t>
      </w:r>
    </w:p>
    <w:p>
      <w:pPr>
        <w:spacing w:before="20" w:after="20"/>
        <w:ind w:left="283"/>
      </w:pPr>
      <w:r>
        <w:rPr>
          <w:b w:val="0"/>
          <w:i w:val="0"/>
          <w:sz w:val="20"/>
          <w:u w:val="none"/>
        </w:rPr>
      </w:r>
    </w:p>
    <w:p>
      <w:pPr>
        <w:spacing w:before="20" w:after="20"/>
        <w:ind w:left="283"/>
      </w:pPr>
      <w:r>
        <w:rPr>
          <w:b w:val="0"/>
          <w:i w:val="0"/>
          <w:sz w:val="20"/>
          <w:u w:val="none"/>
        </w:rPr>
        <w:t>Fórmula aplicada: CU = CT (Costo Total del proceso productivo) ÷ Número de proyectos activos.</w:t>
      </w:r>
    </w:p>
    <w:p>
      <w:pPr>
        <w:spacing w:before="20" w:after="20"/>
        <w:ind w:left="283"/>
      </w:pPr>
      <w:r>
        <w:rPr>
          <w:b w:val="0"/>
          <w:i w:val="0"/>
          <w:sz w:val="20"/>
          <w:u w:val="none"/>
        </w:rPr>
        <w:t>CT = suma del costo mensual de todas las actividades de gestión (VA + NVA) de los tres perfiles. Base: 182 h/mes.</w:t>
      </w:r>
    </w:p>
    <w:p>
      <w:pPr>
        <w:spacing w:before="20" w:after="20"/>
        <w:ind w:left="283"/>
      </w:pPr>
      <w:r>
        <w:rPr>
          <w:b w:val="0"/>
          <w:i w:val="0"/>
          <w:sz w:val="20"/>
          <w:u w:val="none"/>
        </w:rPr>
      </w:r>
    </w:p>
    <w:p>
      <w:pPr>
        <w:spacing w:before="20" w:after="20"/>
        <w:ind w:left="283"/>
      </w:pPr>
      <w:r>
        <w:rPr>
          <w:b w:val="0"/>
          <w:i w:val="0"/>
          <w:sz w:val="20"/>
          <w:u w:val="none"/>
        </w:rPr>
        <w:t>Los tiempos por perfil provienen del VSM (minutos por semana). Factor de conversión: 4,33 sem/mes (4,33 = 52 semanas ÷ 12 meses). Fórmula: h/mes = min/sem × 4,33 ÷ 60. Costos por hora = honorarios ÷ 182 h (Ley 2101/2021).</w:t>
      </w:r>
    </w:p>
    <w:p>
      <w:pPr>
        <w:spacing w:before="20" w:after="20"/>
        <w:ind w:left="283"/>
      </w:pPr>
      <w:r>
        <w:rPr>
          <w:b w:val="0"/>
          <w:i w:val="0"/>
          <w:sz w:val="20"/>
          <w:u w:val="none"/>
        </w:rPr>
      </w:r>
    </w:p>
    <w:p>
      <w:pPr>
        <w:spacing w:before="20" w:after="20"/>
        <w:ind w:left="283"/>
      </w:pPr>
      <w:r>
        <w:rPr>
          <w:b w:val="0"/>
          <w:i w:val="0"/>
          <w:sz w:val="20"/>
          <w:u w:val="none"/>
        </w:rPr>
        <w:t xml:space="preserve">  • Líder de Proyecto (Mike): 555 min/sem × 4,33 ÷ 60 = 2.403,15 min/mes ÷ 60 = 40,05 h/mes.</w:t>
      </w:r>
    </w:p>
    <w:p>
      <w:pPr>
        <w:spacing w:before="20" w:after="20"/>
        <w:ind w:left="283"/>
      </w:pPr>
      <w:r>
        <w:rPr>
          <w:b w:val="0"/>
          <w:i w:val="0"/>
          <w:sz w:val="20"/>
          <w:u w:val="none"/>
        </w:rPr>
        <w:t xml:space="preserve">    Costo: 40,05 × $24.725 = $990.236/mes.</w:t>
      </w:r>
    </w:p>
    <w:p>
      <w:pPr>
        <w:spacing w:before="20" w:after="20"/>
        <w:ind w:left="283"/>
      </w:pPr>
      <w:r>
        <w:rPr>
          <w:b w:val="0"/>
          <w:i w:val="0"/>
          <w:sz w:val="20"/>
          <w:u w:val="none"/>
        </w:rPr>
      </w:r>
    </w:p>
    <w:p>
      <w:pPr>
        <w:spacing w:before="20" w:after="20"/>
        <w:ind w:left="283"/>
      </w:pPr>
      <w:r>
        <w:rPr>
          <w:b w:val="0"/>
          <w:i w:val="0"/>
          <w:sz w:val="20"/>
          <w:u w:val="none"/>
        </w:rPr>
        <w:t xml:space="preserve">  • Director Ejecutivo (Simón): 165 min/sem × 4,33 ÷ 60 = 714,45 min/mes ÷ 60 = 11,91 h/mes.</w:t>
      </w:r>
    </w:p>
    <w:p>
      <w:pPr>
        <w:spacing w:before="20" w:after="20"/>
        <w:ind w:left="283"/>
      </w:pPr>
      <w:r>
        <w:rPr>
          <w:b w:val="0"/>
          <w:i w:val="0"/>
          <w:sz w:val="20"/>
          <w:u w:val="none"/>
        </w:rPr>
        <w:t xml:space="preserve">    Costo: 11,91 × $43.956 = $523.516/mes.</w:t>
      </w:r>
    </w:p>
    <w:p>
      <w:pPr>
        <w:spacing w:before="20" w:after="20"/>
        <w:ind w:left="283"/>
      </w:pPr>
      <w:r>
        <w:rPr>
          <w:b w:val="0"/>
          <w:i w:val="0"/>
          <w:sz w:val="20"/>
          <w:u w:val="none"/>
        </w:rPr>
      </w:r>
    </w:p>
    <w:p>
      <w:pPr>
        <w:spacing w:before="20" w:after="20"/>
        <w:ind w:left="283"/>
      </w:pPr>
      <w:r>
        <w:rPr>
          <w:b w:val="0"/>
          <w:i w:val="0"/>
          <w:sz w:val="20"/>
          <w:u w:val="none"/>
        </w:rPr>
        <w:t xml:space="preserve">  • Director Creativo (Juan Pablo): 120 min/sem × 4,33 ÷ 60 = 519,60 min/mes ÷ 60 = 8,66 h/mes.</w:t>
      </w:r>
    </w:p>
    <w:p>
      <w:pPr>
        <w:spacing w:before="20" w:after="20"/>
        <w:ind w:left="283"/>
      </w:pPr>
      <w:r>
        <w:rPr>
          <w:b w:val="0"/>
          <w:i w:val="0"/>
          <w:sz w:val="20"/>
          <w:u w:val="none"/>
        </w:rPr>
        <w:t xml:space="preserve">    Costo: 8,66 × $32.967 = $285.494/mes.</w:t>
      </w:r>
    </w:p>
    <w:p>
      <w:pPr>
        <w:spacing w:before="20" w:after="20"/>
        <w:ind w:left="283"/>
      </w:pPr>
      <w:r>
        <w:rPr>
          <w:b w:val="0"/>
          <w:i w:val="0"/>
          <w:sz w:val="20"/>
          <w:u w:val="none"/>
        </w:rPr>
      </w:r>
    </w:p>
    <w:p>
      <w:pPr>
        <w:spacing w:before="20" w:after="20"/>
        <w:ind w:left="283"/>
      </w:pPr>
      <w:r>
        <w:rPr>
          <w:b w:val="0"/>
          <w:i w:val="0"/>
          <w:sz w:val="20"/>
          <w:u w:val="none"/>
        </w:rPr>
        <w:t>CT total (VA + NVA): $990.236 + $523.516 + $285.494 = $1.799.246/mes.</w:t>
      </w:r>
    </w:p>
    <w:p>
      <w:pPr>
        <w:spacing w:before="20" w:after="20"/>
        <w:ind w:left="283"/>
      </w:pPr>
      <w:r>
        <w:rPr>
          <w:b w:val="0"/>
          <w:i w:val="0"/>
          <w:sz w:val="20"/>
          <w:u w:val="none"/>
        </w:rPr>
        <w:t>Número de proyectos activos: 13 proyectos.</w:t>
      </w:r>
    </w:p>
    <w:p>
      <w:pPr>
        <w:spacing w:before="20" w:after="20"/>
        <w:ind w:left="283"/>
      </w:pPr>
      <w:r>
        <w:rPr>
          <w:b w:val="0"/>
          <w:i w:val="0"/>
          <w:sz w:val="20"/>
          <w:u w:val="none"/>
        </w:rPr>
        <w:t>CU = $1.799.246 ÷ 13 = $138.404/proyecto/mes → reportado $138.400/proyecto/mes (Marzo 2026).</w:t>
      </w:r>
    </w:p>
    <w:p>
      <w:pPr>
        <w:spacing w:before="20" w:after="20"/>
        <w:ind w:left="283"/>
      </w:pPr>
      <w:r>
        <w:rPr>
          <w:b w:val="0"/>
          <w:i w:val="0"/>
          <w:sz w:val="20"/>
          <w:u w:val="none"/>
        </w:rPr>
        <w:t>Meta CU: $138.400 × 0,65 = $90.000/proyecto/mes (−34,97 %).</w:t>
      </w:r>
    </w:p>
    <w:p>
      <w:pPr>
        <w:spacing w:before="20" w:after="20"/>
        <w:ind w:left="283"/>
      </w:pPr>
      <w:r>
        <w:rPr>
          <w:b w:val="0"/>
          <w:i w:val="0"/>
          <w:sz w:val="20"/>
          <w:u w:val="none"/>
        </w:rPr>
        <w:t>Reducción absoluta esperada: $48.400/proyecto/mes.</w:t>
      </w:r>
    </w:p>
    <w:p>
      <w:pPr>
        <w:spacing w:before="0" w:after="80"/>
      </w:pP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2471A3"/>
          </w:tcPr>
          <w:p>
            <w:pPr>
              <w:jc w:val="center"/>
            </w:pPr>
            <w:r>
              <w:rPr>
                <w:b/>
                <w:color w:val="FFFFFF"/>
                <w:sz w:val="18"/>
              </w:rPr>
              <w:t>Perfil / Concepto</w:t>
            </w:r>
          </w:p>
        </w:tc>
        <w:tc>
          <w:tcPr>
            <w:tcW w:type="dxa" w:w="1881"/>
            <w:shd w:val="clear" w:color="auto" w:fill="2471A3"/>
          </w:tcPr>
          <w:p>
            <w:pPr>
              <w:jc w:val="center"/>
            </w:pPr>
            <w:r>
              <w:rPr>
                <w:b/>
                <w:color w:val="FFFFFF"/>
                <w:sz w:val="18"/>
              </w:rPr>
              <w:t>VSM (min/sem)</w:t>
            </w:r>
          </w:p>
        </w:tc>
        <w:tc>
          <w:tcPr>
            <w:tcW w:type="dxa" w:w="1881"/>
            <w:shd w:val="clear" w:color="auto" w:fill="2471A3"/>
          </w:tcPr>
          <w:p>
            <w:pPr>
              <w:jc w:val="center"/>
            </w:pPr>
            <w:r>
              <w:rPr>
                <w:b/>
                <w:color w:val="FFFFFF"/>
                <w:sz w:val="18"/>
              </w:rPr>
              <w:t>Horas/mes</w:t>
            </w:r>
          </w:p>
        </w:tc>
        <w:tc>
          <w:tcPr>
            <w:tcW w:type="dxa" w:w="1881"/>
            <w:shd w:val="clear" w:color="auto" w:fill="2471A3"/>
          </w:tcPr>
          <w:p>
            <w:pPr>
              <w:jc w:val="center"/>
            </w:pPr>
            <w:r>
              <w:rPr>
                <w:b/>
                <w:color w:val="FFFFFF"/>
                <w:sz w:val="18"/>
              </w:rPr>
              <w:t>Costo/hora</w:t>
            </w:r>
          </w:p>
        </w:tc>
        <w:tc>
          <w:tcPr>
            <w:tcW w:type="dxa" w:w="1881"/>
            <w:shd w:val="clear" w:color="auto" w:fill="2471A3"/>
          </w:tcPr>
          <w:p>
            <w:pPr>
              <w:jc w:val="center"/>
            </w:pPr>
            <w:r>
              <w:rPr>
                <w:b/>
                <w:color w:val="FFFFFF"/>
                <w:sz w:val="18"/>
              </w:rPr>
              <w:t>Costo/mes</w:t>
            </w:r>
          </w:p>
        </w:tc>
      </w:tr>
      <w:tr>
        <w:tc>
          <w:tcPr>
            <w:tcW w:type="dxa" w:w="1881"/>
            <w:shd w:val="clear" w:color="auto" w:fill="FFFFFF"/>
          </w:tcPr>
          <w:p>
            <w:pPr>
              <w:jc w:val="left"/>
            </w:pPr>
            <w:r>
              <w:rPr>
                <w:sz w:val="18"/>
              </w:rPr>
              <w:t>Líder de Proyecto</w:t>
            </w:r>
          </w:p>
        </w:tc>
        <w:tc>
          <w:tcPr>
            <w:tcW w:type="dxa" w:w="1881"/>
            <w:shd w:val="clear" w:color="auto" w:fill="FFFFFF"/>
          </w:tcPr>
          <w:p>
            <w:pPr>
              <w:jc w:val="left"/>
            </w:pPr>
            <w:r>
              <w:rPr>
                <w:sz w:val="18"/>
              </w:rPr>
              <w:t>555 min/sem</w:t>
            </w:r>
          </w:p>
        </w:tc>
        <w:tc>
          <w:tcPr>
            <w:tcW w:type="dxa" w:w="1881"/>
            <w:shd w:val="clear" w:color="auto" w:fill="FFFFFF"/>
          </w:tcPr>
          <w:p>
            <w:pPr>
              <w:jc w:val="center"/>
            </w:pPr>
            <w:r>
              <w:rPr>
                <w:sz w:val="18"/>
              </w:rPr>
              <w:t>40,05 h  (555×4,33÷60)</w:t>
            </w:r>
          </w:p>
        </w:tc>
        <w:tc>
          <w:tcPr>
            <w:tcW w:type="dxa" w:w="1881"/>
            <w:shd w:val="clear" w:color="auto" w:fill="FFFFFF"/>
          </w:tcPr>
          <w:p>
            <w:pPr>
              <w:jc w:val="center"/>
            </w:pPr>
            <w:r>
              <w:rPr>
                <w:sz w:val="18"/>
              </w:rPr>
              <w:t>$24.725</w:t>
            </w:r>
          </w:p>
        </w:tc>
        <w:tc>
          <w:tcPr>
            <w:tcW w:type="dxa" w:w="1881"/>
            <w:shd w:val="clear" w:color="auto" w:fill="FFFFFF"/>
          </w:tcPr>
          <w:p>
            <w:pPr>
              <w:jc w:val="center"/>
            </w:pPr>
            <w:r>
              <w:rPr>
                <w:sz w:val="18"/>
              </w:rPr>
              <w:t>$990.236</w:t>
            </w:r>
          </w:p>
        </w:tc>
      </w:tr>
      <w:tr>
        <w:tc>
          <w:tcPr>
            <w:tcW w:type="dxa" w:w="1881"/>
            <w:shd w:val="clear" w:color="auto" w:fill="EAF0FB"/>
          </w:tcPr>
          <w:p>
            <w:pPr>
              <w:jc w:val="left"/>
            </w:pPr>
            <w:r>
              <w:rPr>
                <w:sz w:val="18"/>
              </w:rPr>
              <w:t>Director Ejecutivo</w:t>
            </w:r>
          </w:p>
        </w:tc>
        <w:tc>
          <w:tcPr>
            <w:tcW w:type="dxa" w:w="1881"/>
            <w:shd w:val="clear" w:color="auto" w:fill="EAF0FB"/>
          </w:tcPr>
          <w:p>
            <w:pPr>
              <w:jc w:val="left"/>
            </w:pPr>
            <w:r>
              <w:rPr>
                <w:sz w:val="18"/>
              </w:rPr>
              <w:t>165 min/sem</w:t>
            </w:r>
          </w:p>
        </w:tc>
        <w:tc>
          <w:tcPr>
            <w:tcW w:type="dxa" w:w="1881"/>
            <w:shd w:val="clear" w:color="auto" w:fill="EAF0FB"/>
          </w:tcPr>
          <w:p>
            <w:pPr>
              <w:jc w:val="center"/>
            </w:pPr>
            <w:r>
              <w:rPr>
                <w:sz w:val="18"/>
              </w:rPr>
              <w:t>11,91 h  (165×4,33÷60)</w:t>
            </w:r>
          </w:p>
        </w:tc>
        <w:tc>
          <w:tcPr>
            <w:tcW w:type="dxa" w:w="1881"/>
            <w:shd w:val="clear" w:color="auto" w:fill="EAF0FB"/>
          </w:tcPr>
          <w:p>
            <w:pPr>
              <w:jc w:val="center"/>
            </w:pPr>
            <w:r>
              <w:rPr>
                <w:sz w:val="18"/>
              </w:rPr>
              <w:t>$43.956</w:t>
            </w:r>
          </w:p>
        </w:tc>
        <w:tc>
          <w:tcPr>
            <w:tcW w:type="dxa" w:w="1881"/>
            <w:shd w:val="clear" w:color="auto" w:fill="EAF0FB"/>
          </w:tcPr>
          <w:p>
            <w:pPr>
              <w:jc w:val="center"/>
            </w:pPr>
            <w:r>
              <w:rPr>
                <w:sz w:val="18"/>
              </w:rPr>
              <w:t>$523.516</w:t>
            </w:r>
          </w:p>
        </w:tc>
      </w:tr>
      <w:tr>
        <w:tc>
          <w:tcPr>
            <w:tcW w:type="dxa" w:w="1881"/>
            <w:shd w:val="clear" w:color="auto" w:fill="FFFFFF"/>
          </w:tcPr>
          <w:p>
            <w:pPr>
              <w:jc w:val="left"/>
            </w:pPr>
            <w:r>
              <w:rPr>
                <w:sz w:val="18"/>
              </w:rPr>
              <w:t>Director Creativo</w:t>
            </w:r>
          </w:p>
        </w:tc>
        <w:tc>
          <w:tcPr>
            <w:tcW w:type="dxa" w:w="1881"/>
            <w:shd w:val="clear" w:color="auto" w:fill="FFFFFF"/>
          </w:tcPr>
          <w:p>
            <w:pPr>
              <w:jc w:val="left"/>
            </w:pPr>
            <w:r>
              <w:rPr>
                <w:sz w:val="18"/>
              </w:rPr>
              <w:t>120 min/sem</w:t>
            </w:r>
          </w:p>
        </w:tc>
        <w:tc>
          <w:tcPr>
            <w:tcW w:type="dxa" w:w="1881"/>
            <w:shd w:val="clear" w:color="auto" w:fill="FFFFFF"/>
          </w:tcPr>
          <w:p>
            <w:pPr>
              <w:jc w:val="center"/>
            </w:pPr>
            <w:r>
              <w:rPr>
                <w:sz w:val="18"/>
              </w:rPr>
              <w:t>8,66 h  (120×4,33÷60)</w:t>
            </w:r>
          </w:p>
        </w:tc>
        <w:tc>
          <w:tcPr>
            <w:tcW w:type="dxa" w:w="1881"/>
            <w:shd w:val="clear" w:color="auto" w:fill="FFFFFF"/>
          </w:tcPr>
          <w:p>
            <w:pPr>
              <w:jc w:val="center"/>
            </w:pPr>
            <w:r>
              <w:rPr>
                <w:sz w:val="18"/>
              </w:rPr>
              <w:t>$32.967</w:t>
            </w:r>
          </w:p>
        </w:tc>
        <w:tc>
          <w:tcPr>
            <w:tcW w:type="dxa" w:w="1881"/>
            <w:shd w:val="clear" w:color="auto" w:fill="FFFFFF"/>
          </w:tcPr>
          <w:p>
            <w:pPr>
              <w:jc w:val="center"/>
            </w:pPr>
            <w:r>
              <w:rPr>
                <w:sz w:val="18"/>
              </w:rPr>
              <w:t>$285.494</w:t>
            </w:r>
          </w:p>
        </w:tc>
      </w:tr>
      <w:tr>
        <w:tc>
          <w:tcPr>
            <w:tcW w:type="dxa" w:w="1881"/>
            <w:shd w:val="clear" w:color="auto" w:fill="EAF0FB"/>
          </w:tcPr>
          <w:p>
            <w:pPr>
              <w:jc w:val="left"/>
            </w:pPr>
            <w:r>
              <w:rPr>
                <w:sz w:val="18"/>
              </w:rPr>
              <w:t>CT total (VA + NVA)</w:t>
            </w:r>
          </w:p>
        </w:tc>
        <w:tc>
          <w:tcPr>
            <w:tcW w:type="dxa" w:w="1881"/>
            <w:shd w:val="clear" w:color="auto" w:fill="EAF0FB"/>
          </w:tcPr>
          <w:p>
            <w:pPr>
              <w:jc w:val="left"/>
            </w:pPr>
            <w:r>
              <w:rPr>
                <w:sz w:val="18"/>
              </w:rPr>
            </w:r>
          </w:p>
        </w:tc>
        <w:tc>
          <w:tcPr>
            <w:tcW w:type="dxa" w:w="1881"/>
            <w:shd w:val="clear" w:color="auto" w:fill="EAF0FB"/>
          </w:tcPr>
          <w:p>
            <w:pPr>
              <w:jc w:val="center"/>
            </w:pPr>
            <w:r>
              <w:rPr>
                <w:sz w:val="18"/>
              </w:rPr>
            </w:r>
          </w:p>
        </w:tc>
        <w:tc>
          <w:tcPr>
            <w:tcW w:type="dxa" w:w="1881"/>
            <w:shd w:val="clear" w:color="auto" w:fill="EAF0FB"/>
          </w:tcPr>
          <w:p>
            <w:pPr>
              <w:jc w:val="center"/>
            </w:pPr>
            <w:r>
              <w:rPr>
                <w:sz w:val="18"/>
              </w:rPr>
            </w:r>
          </w:p>
        </w:tc>
        <w:tc>
          <w:tcPr>
            <w:tcW w:type="dxa" w:w="1881"/>
            <w:shd w:val="clear" w:color="auto" w:fill="EAF0FB"/>
          </w:tcPr>
          <w:p>
            <w:pPr>
              <w:jc w:val="center"/>
            </w:pPr>
            <w:r>
              <w:rPr>
                <w:sz w:val="18"/>
              </w:rPr>
              <w:t>$1.799.246 / mes</w:t>
            </w:r>
          </w:p>
        </w:tc>
      </w:tr>
      <w:tr>
        <w:tc>
          <w:tcPr>
            <w:tcW w:type="dxa" w:w="1881"/>
            <w:shd w:val="clear" w:color="auto" w:fill="FFFFFF"/>
          </w:tcPr>
          <w:p>
            <w:pPr>
              <w:jc w:val="left"/>
            </w:pPr>
            <w:r>
              <w:rPr>
                <w:sz w:val="18"/>
              </w:rPr>
              <w:t>Número de proyectos activos</w:t>
            </w:r>
          </w:p>
        </w:tc>
        <w:tc>
          <w:tcPr>
            <w:tcW w:type="dxa" w:w="1881"/>
            <w:shd w:val="clear" w:color="auto" w:fill="FFFFFF"/>
          </w:tcPr>
          <w:p>
            <w:pPr>
              <w:jc w:val="left"/>
            </w:pPr>
            <w:r>
              <w:rPr>
                <w:sz w:val="18"/>
              </w:rPr>
            </w:r>
          </w:p>
        </w:tc>
        <w:tc>
          <w:tcPr>
            <w:tcW w:type="dxa" w:w="1881"/>
            <w:shd w:val="clear" w:color="auto" w:fill="FFFFFF"/>
          </w:tcPr>
          <w:p>
            <w:pPr>
              <w:jc w:val="center"/>
            </w:pPr>
            <w:r>
              <w:rPr>
                <w:sz w:val="18"/>
              </w:rPr>
            </w:r>
          </w:p>
        </w:tc>
        <w:tc>
          <w:tcPr>
            <w:tcW w:type="dxa" w:w="1881"/>
            <w:shd w:val="clear" w:color="auto" w:fill="FFFFFF"/>
          </w:tcPr>
          <w:p>
            <w:pPr>
              <w:jc w:val="center"/>
            </w:pPr>
            <w:r>
              <w:rPr>
                <w:sz w:val="18"/>
              </w:rPr>
            </w:r>
          </w:p>
        </w:tc>
        <w:tc>
          <w:tcPr>
            <w:tcW w:type="dxa" w:w="1881"/>
            <w:shd w:val="clear" w:color="auto" w:fill="FFFFFF"/>
          </w:tcPr>
          <w:p>
            <w:pPr>
              <w:jc w:val="center"/>
            </w:pPr>
            <w:r>
              <w:rPr>
                <w:sz w:val="18"/>
              </w:rPr>
              <w:t>13 proyectos</w:t>
            </w:r>
          </w:p>
        </w:tc>
      </w:tr>
      <w:tr>
        <w:tc>
          <w:tcPr>
            <w:tcW w:type="dxa" w:w="1881"/>
            <w:shd w:val="clear" w:color="auto" w:fill="EAF0FB"/>
          </w:tcPr>
          <w:p>
            <w:pPr>
              <w:jc w:val="left"/>
            </w:pPr>
            <w:r>
              <w:rPr>
                <w:sz w:val="18"/>
              </w:rPr>
              <w:t>CU = $1.799.246 ÷ 13</w:t>
            </w:r>
          </w:p>
        </w:tc>
        <w:tc>
          <w:tcPr>
            <w:tcW w:type="dxa" w:w="1881"/>
            <w:shd w:val="clear" w:color="auto" w:fill="EAF0FB"/>
          </w:tcPr>
          <w:p>
            <w:pPr>
              <w:jc w:val="left"/>
            </w:pPr>
            <w:r>
              <w:rPr>
                <w:sz w:val="18"/>
              </w:rPr>
            </w:r>
          </w:p>
        </w:tc>
        <w:tc>
          <w:tcPr>
            <w:tcW w:type="dxa" w:w="1881"/>
            <w:shd w:val="clear" w:color="auto" w:fill="EAF0FB"/>
          </w:tcPr>
          <w:p>
            <w:pPr>
              <w:jc w:val="center"/>
            </w:pPr>
            <w:r>
              <w:rPr>
                <w:sz w:val="18"/>
              </w:rPr>
            </w:r>
          </w:p>
        </w:tc>
        <w:tc>
          <w:tcPr>
            <w:tcW w:type="dxa" w:w="1881"/>
            <w:shd w:val="clear" w:color="auto" w:fill="EAF0FB"/>
          </w:tcPr>
          <w:p>
            <w:pPr>
              <w:jc w:val="center"/>
            </w:pPr>
            <w:r>
              <w:rPr>
                <w:sz w:val="18"/>
              </w:rPr>
            </w:r>
          </w:p>
        </w:tc>
        <w:tc>
          <w:tcPr>
            <w:tcW w:type="dxa" w:w="1881"/>
            <w:shd w:val="clear" w:color="auto" w:fill="EAF0FB"/>
          </w:tcPr>
          <w:p>
            <w:pPr>
              <w:jc w:val="center"/>
            </w:pPr>
            <w:r>
              <w:rPr>
                <w:sz w:val="18"/>
              </w:rPr>
              <w:t>$138.404 → $138.400/proy/mes</w:t>
            </w:r>
          </w:p>
        </w:tc>
      </w:tr>
      <w:tr>
        <w:tc>
          <w:tcPr>
            <w:tcW w:type="dxa" w:w="1881"/>
            <w:shd w:val="clear" w:color="auto" w:fill="FFFFFF"/>
          </w:tcPr>
          <w:p>
            <w:pPr>
              <w:jc w:val="left"/>
            </w:pPr>
            <w:r>
              <w:rPr>
                <w:sz w:val="18"/>
              </w:rPr>
              <w:t>Meta CU (−34,97 %)</w:t>
            </w:r>
          </w:p>
        </w:tc>
        <w:tc>
          <w:tcPr>
            <w:tcW w:type="dxa" w:w="1881"/>
            <w:shd w:val="clear" w:color="auto" w:fill="FFFFFF"/>
          </w:tcPr>
          <w:p>
            <w:pPr>
              <w:jc w:val="left"/>
            </w:pPr>
            <w:r>
              <w:rPr>
                <w:sz w:val="18"/>
              </w:rPr>
              <w:t>$138.400 × 0,65</w:t>
            </w:r>
          </w:p>
        </w:tc>
        <w:tc>
          <w:tcPr>
            <w:tcW w:type="dxa" w:w="1881"/>
            <w:shd w:val="clear" w:color="auto" w:fill="FFFFFF"/>
          </w:tcPr>
          <w:p>
            <w:pPr>
              <w:jc w:val="center"/>
            </w:pPr>
            <w:r>
              <w:rPr>
                <w:sz w:val="18"/>
              </w:rPr>
            </w:r>
          </w:p>
        </w:tc>
        <w:tc>
          <w:tcPr>
            <w:tcW w:type="dxa" w:w="1881"/>
            <w:shd w:val="clear" w:color="auto" w:fill="FFFFFF"/>
          </w:tcPr>
          <w:p>
            <w:pPr>
              <w:jc w:val="center"/>
            </w:pPr>
            <w:r>
              <w:rPr>
                <w:sz w:val="18"/>
              </w:rPr>
            </w:r>
          </w:p>
        </w:tc>
        <w:tc>
          <w:tcPr>
            <w:tcW w:type="dxa" w:w="1881"/>
            <w:shd w:val="clear" w:color="auto" w:fill="FFFFFF"/>
          </w:tcPr>
          <w:p>
            <w:pPr>
              <w:jc w:val="center"/>
            </w:pPr>
            <w:r>
              <w:rPr>
                <w:sz w:val="18"/>
              </w:rPr>
              <w:t>$90.000/proy/mes</w:t>
            </w:r>
          </w:p>
        </w:tc>
      </w:tr>
      <w:tr>
        <w:tc>
          <w:tcPr>
            <w:tcW w:type="dxa" w:w="1881"/>
            <w:shd w:val="clear" w:color="auto" w:fill="EAF0FB"/>
          </w:tcPr>
          <w:p>
            <w:pPr>
              <w:jc w:val="left"/>
            </w:pPr>
            <w:r>
              <w:rPr>
                <w:sz w:val="18"/>
              </w:rPr>
              <w:t>Ahorro esperado</w:t>
            </w:r>
          </w:p>
        </w:tc>
        <w:tc>
          <w:tcPr>
            <w:tcW w:type="dxa" w:w="1881"/>
            <w:shd w:val="clear" w:color="auto" w:fill="EAF0FB"/>
          </w:tcPr>
          <w:p>
            <w:pPr>
              <w:jc w:val="left"/>
            </w:pPr>
            <w:r>
              <w:rPr>
                <w:sz w:val="18"/>
              </w:rPr>
            </w:r>
          </w:p>
        </w:tc>
        <w:tc>
          <w:tcPr>
            <w:tcW w:type="dxa" w:w="1881"/>
            <w:shd w:val="clear" w:color="auto" w:fill="EAF0FB"/>
          </w:tcPr>
          <w:p>
            <w:pPr>
              <w:jc w:val="center"/>
            </w:pPr>
            <w:r>
              <w:rPr>
                <w:sz w:val="18"/>
              </w:rPr>
            </w:r>
          </w:p>
        </w:tc>
        <w:tc>
          <w:tcPr>
            <w:tcW w:type="dxa" w:w="1881"/>
            <w:shd w:val="clear" w:color="auto" w:fill="EAF0FB"/>
          </w:tcPr>
          <w:p>
            <w:pPr>
              <w:jc w:val="center"/>
            </w:pPr>
            <w:r>
              <w:rPr>
                <w:sz w:val="18"/>
              </w:rPr>
            </w:r>
          </w:p>
        </w:tc>
        <w:tc>
          <w:tcPr>
            <w:tcW w:type="dxa" w:w="1881"/>
            <w:shd w:val="clear" w:color="auto" w:fill="EAF0FB"/>
          </w:tcPr>
          <w:p>
            <w:pPr>
              <w:jc w:val="center"/>
            </w:pPr>
            <w:r>
              <w:rPr>
                <w:sz w:val="18"/>
              </w:rPr>
              <w:t>$48.400/proy/mes</w:t>
            </w:r>
          </w:p>
        </w:tc>
      </w:tr>
    </w:tbl>
    <w:p>
      <w:pPr>
        <w:spacing w:before="0" w:after="120"/>
      </w:pPr>
    </w:p>
    <w:p>
      <w:pPr>
        <w:spacing w:after="80"/>
        <w:jc w:val="left"/>
        <w:pBdr>
          <w:bottom w:val="single" w:sz="6" w:space="1" w:color="1a3a5c"/>
        </w:pBdr>
      </w:pPr>
      <w:r>
        <w:rPr>
          <w:b/>
          <w:color w:val="1A3A5C"/>
          <w:sz w:val="26"/>
        </w:rPr>
        <w:t>3. Métricas del Indicador</w:t>
      </w:r>
    </w:p>
    <w:p>
      <w:pPr>
        <w:spacing w:before="0" w:after="40"/>
      </w:pPr>
    </w:p>
    <w:tbl>
      <w:tblPr>
        <w:tblStyle w:val="TableGrid"/>
        <w:tblW w:type="auto" w:w="0"/>
        <w:jc w:val="center"/>
        <w:tblLook w:firstColumn="1" w:firstRow="1" w:lastColumn="0" w:lastRow="0" w:noHBand="0" w:noVBand="1" w:val="04A0"/>
      </w:tblPr>
      <w:tblGrid>
        <w:gridCol w:w="1881"/>
        <w:gridCol w:w="1881"/>
        <w:gridCol w:w="1881"/>
        <w:gridCol w:w="1881"/>
        <w:gridCol w:w="1881"/>
      </w:tblGrid>
      <w:tr>
        <w:trPr>
          <w:trHeight w:val="397"/>
        </w:trPr>
        <w:tc>
          <w:tcPr>
            <w:tcW w:type="dxa" w:w="1881"/>
            <w:shd w:val="clear" w:color="auto" w:fill="C0392B"/>
            <w:vAlign w:val="center"/>
          </w:tcPr>
          <w:p>
            <w:pPr>
              <w:jc w:val="center"/>
            </w:pPr>
            <w:r>
              <w:rPr>
                <w:b/>
                <w:color w:val="FFFFFF"/>
                <w:sz w:val="18"/>
              </w:rPr>
              <w:t>Línea Base</w:t>
            </w:r>
          </w:p>
        </w:tc>
        <w:tc>
          <w:tcPr>
            <w:tcW w:type="dxa" w:w="1881"/>
            <w:shd w:val="clear" w:color="auto" w:fill="1A3A5C"/>
            <w:vAlign w:val="center"/>
          </w:tcPr>
          <w:p>
            <w:pPr>
              <w:jc w:val="center"/>
            </w:pPr>
            <w:r>
              <w:rPr>
                <w:b/>
                <w:color w:val="FFFFFF"/>
                <w:sz w:val="18"/>
              </w:rPr>
              <w:t>Mes de la Medición</w:t>
            </w:r>
          </w:p>
        </w:tc>
        <w:tc>
          <w:tcPr>
            <w:tcW w:type="dxa" w:w="1881"/>
            <w:shd w:val="clear" w:color="auto" w:fill="27AE60"/>
            <w:vAlign w:val="center"/>
          </w:tcPr>
          <w:p>
            <w:pPr>
              <w:jc w:val="center"/>
            </w:pPr>
            <w:r>
              <w:rPr>
                <w:b/>
                <w:color w:val="FFFFFF"/>
                <w:sz w:val="18"/>
              </w:rPr>
              <w:t>Meta del Indicador</w:t>
            </w:r>
          </w:p>
        </w:tc>
        <w:tc>
          <w:tcPr>
            <w:tcW w:type="dxa" w:w="1881"/>
            <w:shd w:val="clear" w:color="auto" w:fill="2471A3"/>
            <w:vAlign w:val="center"/>
          </w:tcPr>
          <w:p>
            <w:pPr>
              <w:jc w:val="center"/>
            </w:pPr>
            <w:r>
              <w:rPr>
                <w:b/>
                <w:color w:val="FFFFFF"/>
                <w:sz w:val="18"/>
              </w:rPr>
              <w:t>Variación Esperada</w:t>
            </w:r>
          </w:p>
        </w:tc>
        <w:tc>
          <w:tcPr>
            <w:tcW w:type="dxa" w:w="1881"/>
            <w:shd w:val="clear" w:color="auto" w:fill="5D6D7E"/>
            <w:vAlign w:val="center"/>
          </w:tcPr>
          <w:p>
            <w:pPr>
              <w:jc w:val="center"/>
            </w:pPr>
            <w:r>
              <w:rPr>
                <w:b/>
                <w:color w:val="FFFFFF"/>
                <w:sz w:val="18"/>
              </w:rPr>
              <w:t>Unidad de Medida</w:t>
            </w:r>
          </w:p>
        </w:tc>
      </w:tr>
      <w:tr>
        <w:trPr>
          <w:trHeight w:val="397"/>
        </w:trPr>
        <w:tc>
          <w:tcPr>
            <w:tcW w:type="dxa" w:w="1881"/>
            <w:shd w:val="clear" w:color="auto" w:fill="F7F9FC"/>
            <w:vAlign w:val="center"/>
          </w:tcPr>
          <w:p>
            <w:pPr>
              <w:jc w:val="center"/>
            </w:pPr>
            <w:r>
              <w:rPr>
                <w:b/>
                <w:color w:val="C0392B"/>
                <w:sz w:val="26"/>
              </w:rPr>
              <w:t>138.400,00</w:t>
            </w:r>
          </w:p>
        </w:tc>
        <w:tc>
          <w:tcPr>
            <w:tcW w:type="dxa" w:w="1881"/>
            <w:shd w:val="clear" w:color="auto" w:fill="F7F9FC"/>
            <w:vAlign w:val="center"/>
          </w:tcPr>
          <w:p>
            <w:pPr>
              <w:jc w:val="center"/>
            </w:pPr>
            <w:r>
              <w:rPr>
                <w:b/>
                <w:color w:val="1A3A5C"/>
                <w:sz w:val="26"/>
              </w:rPr>
              <w:t>Marzo de 2026</w:t>
            </w:r>
          </w:p>
        </w:tc>
        <w:tc>
          <w:tcPr>
            <w:tcW w:type="dxa" w:w="1881"/>
            <w:shd w:val="clear" w:color="auto" w:fill="F7F9FC"/>
            <w:vAlign w:val="center"/>
          </w:tcPr>
          <w:p>
            <w:pPr>
              <w:jc w:val="center"/>
            </w:pPr>
            <w:r>
              <w:rPr>
                <w:b/>
                <w:color w:val="27AE60"/>
                <w:sz w:val="26"/>
              </w:rPr>
              <w:t>90.000,00</w:t>
            </w:r>
          </w:p>
        </w:tc>
        <w:tc>
          <w:tcPr>
            <w:tcW w:type="dxa" w:w="1881"/>
            <w:shd w:val="clear" w:color="auto" w:fill="F7F9FC"/>
            <w:vAlign w:val="center"/>
          </w:tcPr>
          <w:p>
            <w:pPr>
              <w:jc w:val="center"/>
            </w:pPr>
            <w:r>
              <w:rPr>
                <w:b/>
                <w:color w:val="2471A3"/>
                <w:sz w:val="26"/>
              </w:rPr>
              <w:t>-34,97 %</w:t>
            </w:r>
          </w:p>
        </w:tc>
        <w:tc>
          <w:tcPr>
            <w:tcW w:type="dxa" w:w="1881"/>
            <w:shd w:val="clear" w:color="auto" w:fill="F7F9FC"/>
            <w:vAlign w:val="center"/>
          </w:tcPr>
          <w:p>
            <w:pPr>
              <w:jc w:val="center"/>
            </w:pPr>
            <w:r>
              <w:rPr>
                <w:b/>
                <w:color w:val="5D6D7E"/>
                <w:sz w:val="26"/>
              </w:rPr>
              <w:t>Pesos colombianos por proyecto por mes</w:t>
            </w:r>
          </w:p>
        </w:tc>
      </w:tr>
    </w:tbl>
    <w:p>
      <w:pPr>
        <w:spacing w:before="0" w:after="120"/>
      </w:pPr>
    </w:p>
    <w:p>
      <w:pPr>
        <w:spacing w:after="80"/>
        <w:jc w:val="left"/>
        <w:pBdr>
          <w:bottom w:val="single" w:sz="6" w:space="1" w:color="1a3a5c"/>
        </w:pBdr>
      </w:pPr>
      <w:r>
        <w:rPr>
          <w:b/>
          <w:color w:val="1A3A5C"/>
          <w:sz w:val="26"/>
        </w:rPr>
        <w:t>4. Entregable de Soporte</w:t>
      </w:r>
    </w:p>
    <w:p>
      <w:pPr>
        <w:spacing w:after="40"/>
        <w:ind w:left="283"/>
      </w:pPr>
      <w:r>
        <w:rPr>
          <w:b w:val="0"/>
          <w:i/>
          <w:color w:val="154360"/>
          <w:sz w:val="20"/>
          <w:u w:val="none"/>
        </w:rPr>
        <w:t>Reporte_Mediciones_CNTXT_PT2.xlsx (hoja IPT-4 CU)</w:t>
      </w:r>
    </w:p>
    <w:p>
      <w:r>
        <w:br w:type="page"/>
      </w:r>
    </w:p>
    <w:tbl>
      <w:tblPr>
        <w:tblStyle w:val="TableGrid"/>
        <w:tblW w:type="auto" w:w="0"/>
        <w:jc w:val="left"/>
        <w:tblLook w:firstColumn="1" w:firstRow="1" w:lastColumn="0" w:lastRow="0" w:noHBand="0" w:noVBand="1" w:val="04A0"/>
      </w:tblPr>
      <w:tblGrid>
        <w:gridCol w:w="7370"/>
        <w:gridCol w:w="2268"/>
      </w:tblGrid>
      <w:tr>
        <w:trPr>
          <w:trHeight w:val="425"/>
        </w:trPr>
        <w:tc>
          <w:tcPr>
            <w:tcW w:type="dxa" w:w="4703"/>
            <w:shd w:val="clear" w:color="auto" w:fill="2471A3"/>
          </w:tcPr>
          <w:p>
            <w:pPr>
              <w:jc w:val="left"/>
            </w:pPr>
            <w:r>
              <w:rPr>
                <w:b/>
                <w:color w:val="FFFFFF"/>
                <w:sz w:val="24"/>
              </w:rPr>
              <w:t xml:space="preserve">  IPT-5  —  Optimización de Puntos de Contacto con el Cliente en el Proceso Productivo (OPC)</w:t>
            </w:r>
          </w:p>
        </w:tc>
        <w:tc>
          <w:tcPr>
            <w:tcW w:type="dxa" w:w="4703"/>
            <w:shd w:val="clear" w:color="auto" w:fill="2471A3"/>
          </w:tcPr>
          <w:p>
            <w:pPr>
              <w:jc w:val="right"/>
            </w:pPr>
            <w:r>
              <w:rPr>
                <w:color w:val="FFFFFF"/>
                <w:sz w:val="18"/>
              </w:rPr>
              <w:t xml:space="preserve">[ Variable ]  </w:t>
            </w:r>
          </w:p>
        </w:tc>
      </w:tr>
    </w:tbl>
    <w:p>
      <w:pPr>
        <w:spacing w:before="0" w:after="120"/>
      </w:pPr>
    </w:p>
    <w:p>
      <w:pPr>
        <w:spacing w:after="80"/>
        <w:jc w:val="left"/>
        <w:pBdr>
          <w:bottom w:val="single" w:sz="6" w:space="1" w:color="1a3a5c"/>
        </w:pBdr>
      </w:pPr>
      <w:r>
        <w:rPr>
          <w:b/>
          <w:color w:val="1A3A5C"/>
          <w:sz w:val="26"/>
        </w:rPr>
        <w:t>1. Nombre del Indicador</w:t>
      </w:r>
    </w:p>
    <w:p>
      <w:pPr>
        <w:spacing w:after="80"/>
        <w:ind w:left="283"/>
      </w:pPr>
      <w:r>
        <w:rPr>
          <w:b/>
          <w:i w:val="0"/>
          <w:color w:val="1A3A5C"/>
          <w:sz w:val="22"/>
          <w:u w:val="none"/>
        </w:rPr>
        <w:t>Optimización de Puntos de Contacto con el Cliente en el Proceso Productivo (OPC)</w:t>
      </w:r>
    </w:p>
    <w:p>
      <w:pPr>
        <w:spacing w:before="0" w:after="80"/>
      </w:pPr>
    </w:p>
    <w:p>
      <w:pPr>
        <w:spacing w:after="80"/>
        <w:jc w:val="left"/>
        <w:pBdr>
          <w:bottom w:val="single" w:sz="6" w:space="1" w:color="1a3a5c"/>
        </w:pBdr>
      </w:pPr>
      <w:r>
        <w:rPr>
          <w:b/>
          <w:color w:val="1A3A5C"/>
          <w:sz w:val="26"/>
        </w:rPr>
        <w:t>2. Cálculo de la Medición</w:t>
      </w:r>
    </w:p>
    <w:p>
      <w:pPr>
        <w:spacing w:before="20" w:after="20"/>
        <w:ind w:left="283"/>
      </w:pPr>
      <w:r>
        <w:rPr>
          <w:b w:val="0"/>
          <w:i w:val="0"/>
          <w:sz w:val="20"/>
          <w:u w:val="none"/>
        </w:rPr>
        <w:t>La medición cuantifica el porcentaje de subprocesos del ciclo productivo (12 actividades del VSM) en los cuales se tiene contacto directo con el cliente externo, desde el registro del dato operativo hasta la aprobación del hito. Se consideran únicamente los subprocesos que requieren interacción directa con el cliente externo (no transferencias internas de información). El alcance se mantendrá idéntico en las mediciones intermedia y de salida.</w:t>
      </w:r>
    </w:p>
    <w:p>
      <w:pPr>
        <w:spacing w:before="20" w:after="20"/>
        <w:ind w:left="283"/>
      </w:pPr>
      <w:r>
        <w:rPr>
          <w:b w:val="0"/>
          <w:i w:val="0"/>
          <w:sz w:val="20"/>
          <w:u w:val="none"/>
        </w:rPr>
      </w:r>
    </w:p>
    <w:p>
      <w:pPr>
        <w:spacing w:before="20" w:after="20"/>
        <w:ind w:left="283"/>
      </w:pPr>
      <w:r>
        <w:rPr>
          <w:b w:val="0"/>
          <w:i w:val="0"/>
          <w:sz w:val="20"/>
          <w:u w:val="none"/>
        </w:rPr>
        <w:t>Fórmula aplicada: OPC = (Subprocesos con contacto directo con cliente externo ÷ Total subprocesos del ciclo) × 100.</w:t>
      </w:r>
    </w:p>
    <w:p>
      <w:pPr>
        <w:spacing w:before="20" w:after="20"/>
        <w:ind w:left="283"/>
      </w:pPr>
      <w:r>
        <w:rPr>
          <w:b w:val="0"/>
          <w:i w:val="0"/>
          <w:sz w:val="20"/>
          <w:u w:val="none"/>
        </w:rPr>
      </w:r>
    </w:p>
    <w:p>
      <w:pPr>
        <w:spacing w:before="20" w:after="20"/>
        <w:ind w:left="283"/>
      </w:pPr>
      <w:r>
        <w:rPr>
          <w:b w:val="0"/>
          <w:i w:val="0"/>
          <w:sz w:val="20"/>
          <w:u w:val="none"/>
        </w:rPr>
        <w:t>Total de subprocesos del ciclo productivo: 12 actividades (según VSM_CNTXT_PT2.xlsx).</w:t>
      </w:r>
    </w:p>
    <w:p>
      <w:pPr>
        <w:spacing w:before="20" w:after="20"/>
        <w:ind w:left="283"/>
      </w:pPr>
      <w:r>
        <w:rPr>
          <w:b w:val="0"/>
          <w:i w:val="0"/>
          <w:sz w:val="20"/>
          <w:u w:val="none"/>
        </w:rPr>
      </w:r>
    </w:p>
    <w:p>
      <w:pPr>
        <w:spacing w:before="20" w:after="20"/>
        <w:ind w:left="283"/>
      </w:pPr>
      <w:r>
        <w:rPr>
          <w:b w:val="0"/>
          <w:i w:val="0"/>
          <w:sz w:val="20"/>
          <w:u w:val="none"/>
        </w:rPr>
        <w:t>Línea base — 7 subprocesos con contacto directo con cliente externo = 7/12 = 58,33 % (Marzo 2026):</w:t>
      </w:r>
    </w:p>
    <w:p>
      <w:pPr>
        <w:spacing w:before="20" w:after="20"/>
        <w:ind w:left="283"/>
      </w:pPr>
      <w:r>
        <w:rPr>
          <w:b w:val="0"/>
          <w:i w:val="0"/>
          <w:sz w:val="20"/>
          <w:u w:val="none"/>
        </w:rPr>
      </w:r>
    </w:p>
    <w:p>
      <w:pPr>
        <w:spacing w:before="20" w:after="20"/>
        <w:ind w:left="283"/>
      </w:pPr>
      <w:r>
        <w:rPr>
          <w:b w:val="0"/>
          <w:i w:val="0"/>
          <w:sz w:val="20"/>
          <w:u w:val="none"/>
        </w:rPr>
        <w:t xml:space="preserve">  • Punto 1: Convocatoria y coordinación de reunión de avance con el cliente (correo o llamada).</w:t>
      </w:r>
    </w:p>
    <w:p>
      <w:pPr>
        <w:spacing w:before="20" w:after="20"/>
        <w:ind w:left="283"/>
      </w:pPr>
      <w:r>
        <w:rPr>
          <w:b w:val="0"/>
          <w:i w:val="0"/>
          <w:sz w:val="20"/>
          <w:u w:val="none"/>
        </w:rPr>
        <w:t xml:space="preserve">  • Punto 2: Preparación de presentación de avance impresa para el cliente.</w:t>
      </w:r>
    </w:p>
    <w:p>
      <w:pPr>
        <w:spacing w:before="20" w:after="20"/>
        <w:ind w:left="283"/>
      </w:pPr>
      <w:r>
        <w:rPr>
          <w:b w:val="0"/>
          <w:i w:val="0"/>
          <w:sz w:val="20"/>
          <w:u w:val="none"/>
        </w:rPr>
        <w:t xml:space="preserve">  • Punto 3: Reunión presencial de avance con el cliente con entrega de material impreso.</w:t>
      </w:r>
    </w:p>
    <w:p>
      <w:pPr>
        <w:spacing w:before="20" w:after="20"/>
        <w:ind w:left="283"/>
      </w:pPr>
      <w:r>
        <w:rPr>
          <w:b w:val="0"/>
          <w:i w:val="0"/>
          <w:sz w:val="20"/>
          <w:u w:val="none"/>
        </w:rPr>
        <w:t xml:space="preserve">  • Punto 4: Envío de planos y renders al cliente para revisión y aprobación (físico o correo).</w:t>
      </w:r>
    </w:p>
    <w:p>
      <w:pPr>
        <w:spacing w:before="20" w:after="20"/>
        <w:ind w:left="283"/>
      </w:pPr>
      <w:r>
        <w:rPr>
          <w:b w:val="0"/>
          <w:i w:val="0"/>
          <w:sz w:val="20"/>
          <w:u w:val="none"/>
        </w:rPr>
        <w:t xml:space="preserve">  • Punto 5: Recepción y procesamiento de comentarios del cliente (verbal o correo).</w:t>
      </w:r>
    </w:p>
    <w:p>
      <w:pPr>
        <w:spacing w:before="20" w:after="20"/>
        <w:ind w:left="283"/>
      </w:pPr>
      <w:r>
        <w:rPr>
          <w:b w:val="0"/>
          <w:i w:val="0"/>
          <w:sz w:val="20"/>
          <w:u w:val="none"/>
        </w:rPr>
        <w:t xml:space="preserve">  • Punto 6: Ciclo de ajustes por feedback del cliente y re-envío de entregables.</w:t>
      </w:r>
    </w:p>
    <w:p>
      <w:pPr>
        <w:spacing w:before="20" w:after="20"/>
        <w:ind w:left="283"/>
      </w:pPr>
      <w:r>
        <w:rPr>
          <w:b w:val="0"/>
          <w:i w:val="0"/>
          <w:sz w:val="20"/>
          <w:u w:val="none"/>
        </w:rPr>
        <w:t xml:space="preserve">  • Punto 7: Confirmación de aprobación del cliente y escalamiento de hito.</w:t>
      </w:r>
    </w:p>
    <w:p>
      <w:pPr>
        <w:spacing w:before="20" w:after="20"/>
        <w:ind w:left="283"/>
      </w:pPr>
      <w:r>
        <w:rPr>
          <w:b w:val="0"/>
          <w:i w:val="0"/>
          <w:sz w:val="20"/>
          <w:u w:val="none"/>
        </w:rPr>
      </w:r>
    </w:p>
    <w:p>
      <w:pPr>
        <w:spacing w:before="20" w:after="20"/>
        <w:ind w:left="283"/>
      </w:pPr>
      <w:r>
        <w:rPr>
          <w:b w:val="0"/>
          <w:i w:val="0"/>
          <w:sz w:val="20"/>
          <w:u w:val="none"/>
        </w:rPr>
        <w:t>Meta — 3 subprocesos con contacto directo con cliente = 3/12 = 25,00 %:</w:t>
      </w:r>
    </w:p>
    <w:p>
      <w:pPr>
        <w:spacing w:before="20" w:after="20"/>
        <w:ind w:left="283"/>
      </w:pPr>
      <w:r>
        <w:rPr>
          <w:b w:val="0"/>
          <w:i w:val="0"/>
          <w:sz w:val="20"/>
          <w:u w:val="none"/>
        </w:rPr>
      </w:r>
    </w:p>
    <w:p>
      <w:pPr>
        <w:spacing w:before="20" w:after="20"/>
        <w:ind w:left="283"/>
      </w:pPr>
      <w:r>
        <w:rPr>
          <w:b w:val="0"/>
          <w:i w:val="0"/>
          <w:sz w:val="20"/>
          <w:u w:val="none"/>
        </w:rPr>
        <w:t xml:space="preserve">  • Punto 1: Reunión presencial de avance (conservada — exigencia del cliente).</w:t>
      </w:r>
    </w:p>
    <w:p>
      <w:pPr>
        <w:spacing w:before="20" w:after="20"/>
        <w:ind w:left="283"/>
      </w:pPr>
      <w:r>
        <w:rPr>
          <w:b w:val="0"/>
          <w:i w:val="0"/>
          <w:sz w:val="20"/>
          <w:u w:val="none"/>
        </w:rPr>
        <w:t xml:space="preserve">  • Punto 2: Acceso del cliente al dashboard en tiempo real en Central Contexto 2.0.</w:t>
      </w:r>
    </w:p>
    <w:p>
      <w:pPr>
        <w:spacing w:before="20" w:after="20"/>
        <w:ind w:left="283"/>
      </w:pPr>
      <w:r>
        <w:rPr>
          <w:b w:val="0"/>
          <w:i w:val="0"/>
          <w:sz w:val="20"/>
          <w:u w:val="none"/>
        </w:rPr>
        <w:t xml:space="preserve">  • Punto 3: Aprobación digital del cliente en la plataforma (conserva la confirmación formal).</w:t>
      </w:r>
    </w:p>
    <w:p>
      <w:pPr>
        <w:spacing w:before="20" w:after="20"/>
        <w:ind w:left="283"/>
      </w:pPr>
      <w:r>
        <w:rPr>
          <w:b w:val="0"/>
          <w:i w:val="0"/>
          <w:sz w:val="20"/>
          <w:u w:val="none"/>
        </w:rPr>
      </w:r>
    </w:p>
    <w:p>
      <w:pPr>
        <w:spacing w:before="20" w:after="20"/>
        <w:ind w:left="283"/>
      </w:pPr>
      <w:r>
        <w:rPr>
          <w:b w:val="0"/>
          <w:i w:val="0"/>
          <w:sz w:val="20"/>
          <w:u w:val="none"/>
        </w:rPr>
        <w:t>OPC línea base: 7/12 = 58,33 %. Meta: 3/12 = 25,00 %. Variación: −57,14 %.</w:t>
      </w:r>
    </w:p>
    <w:p>
      <w:pPr>
        <w:spacing w:before="0" w:after="80"/>
      </w:pP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471A3"/>
          </w:tcPr>
          <w:p>
            <w:pPr>
              <w:jc w:val="center"/>
            </w:pPr>
            <w:r>
              <w:rPr>
                <w:b/>
                <w:color w:val="FFFFFF"/>
                <w:sz w:val="18"/>
              </w:rPr>
              <w:t>Punto</w:t>
            </w:r>
          </w:p>
        </w:tc>
        <w:tc>
          <w:tcPr>
            <w:tcW w:type="dxa" w:w="3135"/>
            <w:shd w:val="clear" w:color="auto" w:fill="2471A3"/>
          </w:tcPr>
          <w:p>
            <w:pPr>
              <w:jc w:val="center"/>
            </w:pPr>
            <w:r>
              <w:rPr>
                <w:b/>
                <w:color w:val="FFFFFF"/>
                <w:sz w:val="18"/>
              </w:rPr>
              <w:t>Descripción (contacto directo con cliente externo)</w:t>
            </w:r>
          </w:p>
        </w:tc>
        <w:tc>
          <w:tcPr>
            <w:tcW w:type="dxa" w:w="3135"/>
            <w:shd w:val="clear" w:color="auto" w:fill="2471A3"/>
          </w:tcPr>
          <w:p>
            <w:pPr>
              <w:jc w:val="center"/>
            </w:pPr>
            <w:r>
              <w:rPr>
                <w:b/>
                <w:color w:val="FFFFFF"/>
                <w:sz w:val="18"/>
              </w:rPr>
              <w:t>Estado en meta</w:t>
            </w:r>
          </w:p>
        </w:tc>
      </w:tr>
      <w:tr>
        <w:tc>
          <w:tcPr>
            <w:tcW w:type="dxa" w:w="3135"/>
            <w:shd w:val="clear" w:color="auto" w:fill="FFFFFF"/>
          </w:tcPr>
          <w:p>
            <w:pPr>
              <w:jc w:val="left"/>
            </w:pPr>
            <w:r>
              <w:rPr>
                <w:sz w:val="18"/>
              </w:rPr>
              <w:t>P 1</w:t>
            </w:r>
          </w:p>
        </w:tc>
        <w:tc>
          <w:tcPr>
            <w:tcW w:type="dxa" w:w="3135"/>
            <w:shd w:val="clear" w:color="auto" w:fill="FFFFFF"/>
          </w:tcPr>
          <w:p>
            <w:pPr>
              <w:jc w:val="left"/>
            </w:pPr>
            <w:r>
              <w:rPr>
                <w:sz w:val="18"/>
              </w:rPr>
              <w:t>Convocatoria y coordinación de reunión de avance con cliente</w:t>
            </w:r>
          </w:p>
        </w:tc>
        <w:tc>
          <w:tcPr>
            <w:tcW w:type="dxa" w:w="3135"/>
            <w:shd w:val="clear" w:color="auto" w:fill="FFFFFF"/>
          </w:tcPr>
          <w:p>
            <w:pPr>
              <w:jc w:val="center"/>
            </w:pPr>
            <w:r>
              <w:rPr>
                <w:sz w:val="18"/>
              </w:rPr>
              <w:t>ELIMINADO — dashboard digital</w:t>
            </w:r>
          </w:p>
        </w:tc>
      </w:tr>
      <w:tr>
        <w:tc>
          <w:tcPr>
            <w:tcW w:type="dxa" w:w="3135"/>
            <w:shd w:val="clear" w:color="auto" w:fill="EAF0FB"/>
          </w:tcPr>
          <w:p>
            <w:pPr>
              <w:jc w:val="left"/>
            </w:pPr>
            <w:r>
              <w:rPr>
                <w:sz w:val="18"/>
              </w:rPr>
              <w:t>P 2</w:t>
            </w:r>
          </w:p>
        </w:tc>
        <w:tc>
          <w:tcPr>
            <w:tcW w:type="dxa" w:w="3135"/>
            <w:shd w:val="clear" w:color="auto" w:fill="EAF0FB"/>
          </w:tcPr>
          <w:p>
            <w:pPr>
              <w:jc w:val="left"/>
            </w:pPr>
            <w:r>
              <w:rPr>
                <w:sz w:val="18"/>
              </w:rPr>
              <w:t>Preparación de presentación de avance impresa para el cliente</w:t>
            </w:r>
          </w:p>
        </w:tc>
        <w:tc>
          <w:tcPr>
            <w:tcW w:type="dxa" w:w="3135"/>
            <w:shd w:val="clear" w:color="auto" w:fill="EAF0FB"/>
          </w:tcPr>
          <w:p>
            <w:pPr>
              <w:jc w:val="center"/>
            </w:pPr>
            <w:r>
              <w:rPr>
                <w:sz w:val="18"/>
              </w:rPr>
              <w:t>ELIMINADO — dashboard digital</w:t>
            </w:r>
          </w:p>
        </w:tc>
      </w:tr>
      <w:tr>
        <w:tc>
          <w:tcPr>
            <w:tcW w:type="dxa" w:w="3135"/>
            <w:shd w:val="clear" w:color="auto" w:fill="FFFFFF"/>
          </w:tcPr>
          <w:p>
            <w:pPr>
              <w:jc w:val="left"/>
            </w:pPr>
            <w:r>
              <w:rPr>
                <w:sz w:val="18"/>
              </w:rPr>
              <w:t>P 3</w:t>
            </w:r>
          </w:p>
        </w:tc>
        <w:tc>
          <w:tcPr>
            <w:tcW w:type="dxa" w:w="3135"/>
            <w:shd w:val="clear" w:color="auto" w:fill="FFFFFF"/>
          </w:tcPr>
          <w:p>
            <w:pPr>
              <w:jc w:val="left"/>
            </w:pPr>
            <w:r>
              <w:rPr>
                <w:sz w:val="18"/>
              </w:rPr>
              <w:t>Reunión presencial de avance con cliente con material impreso</w:t>
            </w:r>
          </w:p>
        </w:tc>
        <w:tc>
          <w:tcPr>
            <w:tcW w:type="dxa" w:w="3135"/>
            <w:shd w:val="clear" w:color="auto" w:fill="FFFFFF"/>
          </w:tcPr>
          <w:p>
            <w:pPr>
              <w:jc w:val="center"/>
            </w:pPr>
            <w:r>
              <w:rPr>
                <w:sz w:val="18"/>
              </w:rPr>
              <w:t>Se conserva — exigencia cliente</w:t>
            </w:r>
          </w:p>
        </w:tc>
      </w:tr>
      <w:tr>
        <w:tc>
          <w:tcPr>
            <w:tcW w:type="dxa" w:w="3135"/>
            <w:shd w:val="clear" w:color="auto" w:fill="EAF0FB"/>
          </w:tcPr>
          <w:p>
            <w:pPr>
              <w:jc w:val="left"/>
            </w:pPr>
            <w:r>
              <w:rPr>
                <w:sz w:val="18"/>
              </w:rPr>
              <w:t>P 4</w:t>
            </w:r>
          </w:p>
        </w:tc>
        <w:tc>
          <w:tcPr>
            <w:tcW w:type="dxa" w:w="3135"/>
            <w:shd w:val="clear" w:color="auto" w:fill="EAF0FB"/>
          </w:tcPr>
          <w:p>
            <w:pPr>
              <w:jc w:val="left"/>
            </w:pPr>
            <w:r>
              <w:rPr>
                <w:sz w:val="18"/>
              </w:rPr>
              <w:t>Envío de planos y renders al cliente para aprobación</w:t>
            </w:r>
          </w:p>
        </w:tc>
        <w:tc>
          <w:tcPr>
            <w:tcW w:type="dxa" w:w="3135"/>
            <w:shd w:val="clear" w:color="auto" w:fill="EAF0FB"/>
          </w:tcPr>
          <w:p>
            <w:pPr>
              <w:jc w:val="center"/>
            </w:pPr>
            <w:r>
              <w:rPr>
                <w:sz w:val="18"/>
              </w:rPr>
              <w:t>ELIMINADO — portal digital</w:t>
            </w:r>
          </w:p>
        </w:tc>
      </w:tr>
      <w:tr>
        <w:tc>
          <w:tcPr>
            <w:tcW w:type="dxa" w:w="3135"/>
            <w:shd w:val="clear" w:color="auto" w:fill="FFFFFF"/>
          </w:tcPr>
          <w:p>
            <w:pPr>
              <w:jc w:val="left"/>
            </w:pPr>
            <w:r>
              <w:rPr>
                <w:sz w:val="18"/>
              </w:rPr>
              <w:t>P 5</w:t>
            </w:r>
          </w:p>
        </w:tc>
        <w:tc>
          <w:tcPr>
            <w:tcW w:type="dxa" w:w="3135"/>
            <w:shd w:val="clear" w:color="auto" w:fill="FFFFFF"/>
          </w:tcPr>
          <w:p>
            <w:pPr>
              <w:jc w:val="left"/>
            </w:pPr>
            <w:r>
              <w:rPr>
                <w:sz w:val="18"/>
              </w:rPr>
              <w:t>Recepción y procesamiento de comentarios del cliente</w:t>
            </w:r>
          </w:p>
        </w:tc>
        <w:tc>
          <w:tcPr>
            <w:tcW w:type="dxa" w:w="3135"/>
            <w:shd w:val="clear" w:color="auto" w:fill="FFFFFF"/>
          </w:tcPr>
          <w:p>
            <w:pPr>
              <w:jc w:val="center"/>
            </w:pPr>
            <w:r>
              <w:rPr>
                <w:sz w:val="18"/>
              </w:rPr>
              <w:t>ELIMINADO — formulario digital</w:t>
            </w:r>
          </w:p>
        </w:tc>
      </w:tr>
      <w:tr>
        <w:tc>
          <w:tcPr>
            <w:tcW w:type="dxa" w:w="3135"/>
            <w:shd w:val="clear" w:color="auto" w:fill="EAF0FB"/>
          </w:tcPr>
          <w:p>
            <w:pPr>
              <w:jc w:val="left"/>
            </w:pPr>
            <w:r>
              <w:rPr>
                <w:sz w:val="18"/>
              </w:rPr>
              <w:t>P 6</w:t>
            </w:r>
          </w:p>
        </w:tc>
        <w:tc>
          <w:tcPr>
            <w:tcW w:type="dxa" w:w="3135"/>
            <w:shd w:val="clear" w:color="auto" w:fill="EAF0FB"/>
          </w:tcPr>
          <w:p>
            <w:pPr>
              <w:jc w:val="left"/>
            </w:pPr>
            <w:r>
              <w:rPr>
                <w:sz w:val="18"/>
              </w:rPr>
              <w:t>Ciclo de ajustes por feedback del cliente y re-envío</w:t>
            </w:r>
          </w:p>
        </w:tc>
        <w:tc>
          <w:tcPr>
            <w:tcW w:type="dxa" w:w="3135"/>
            <w:shd w:val="clear" w:color="auto" w:fill="EAF0FB"/>
          </w:tcPr>
          <w:p>
            <w:pPr>
              <w:jc w:val="center"/>
            </w:pPr>
            <w:r>
              <w:rPr>
                <w:sz w:val="18"/>
              </w:rPr>
              <w:t>ELIMINADO — trazabilidad plataforma</w:t>
            </w:r>
          </w:p>
        </w:tc>
      </w:tr>
      <w:tr>
        <w:tc>
          <w:tcPr>
            <w:tcW w:type="dxa" w:w="3135"/>
            <w:shd w:val="clear" w:color="auto" w:fill="FFFFFF"/>
          </w:tcPr>
          <w:p>
            <w:pPr>
              <w:jc w:val="left"/>
            </w:pPr>
            <w:r>
              <w:rPr>
                <w:sz w:val="18"/>
              </w:rPr>
              <w:t>P 7</w:t>
            </w:r>
          </w:p>
        </w:tc>
        <w:tc>
          <w:tcPr>
            <w:tcW w:type="dxa" w:w="3135"/>
            <w:shd w:val="clear" w:color="auto" w:fill="FFFFFF"/>
          </w:tcPr>
          <w:p>
            <w:pPr>
              <w:jc w:val="left"/>
            </w:pPr>
            <w:r>
              <w:rPr>
                <w:sz w:val="18"/>
              </w:rPr>
              <w:t>Confirmación de aprobación y escalamiento de hito con el cliente</w:t>
            </w:r>
          </w:p>
        </w:tc>
        <w:tc>
          <w:tcPr>
            <w:tcW w:type="dxa" w:w="3135"/>
            <w:shd w:val="clear" w:color="auto" w:fill="FFFFFF"/>
          </w:tcPr>
          <w:p>
            <w:pPr>
              <w:jc w:val="center"/>
            </w:pPr>
            <w:r>
              <w:rPr>
                <w:sz w:val="18"/>
              </w:rPr>
              <w:t>Se conserva — aprobación digital</w:t>
            </w:r>
          </w:p>
        </w:tc>
      </w:tr>
      <w:tr>
        <w:tc>
          <w:tcPr>
            <w:tcW w:type="dxa" w:w="3135"/>
            <w:shd w:val="clear" w:color="auto" w:fill="EAF0FB"/>
          </w:tcPr>
          <w:p>
            <w:pPr>
              <w:jc w:val="left"/>
            </w:pPr>
            <w:r>
              <w:rPr>
                <w:sz w:val="18"/>
              </w:rPr>
            </w:r>
          </w:p>
        </w:tc>
        <w:tc>
          <w:tcPr>
            <w:tcW w:type="dxa" w:w="3135"/>
            <w:shd w:val="clear" w:color="auto" w:fill="EAF0FB"/>
          </w:tcPr>
          <w:p>
            <w:pPr>
              <w:jc w:val="left"/>
            </w:pPr>
            <w:r>
              <w:rPr>
                <w:sz w:val="18"/>
              </w:rPr>
              <w:t>Línea base: 7 / 12 subprocesos = 58,33 %</w:t>
            </w:r>
          </w:p>
        </w:tc>
        <w:tc>
          <w:tcPr>
            <w:tcW w:type="dxa" w:w="3135"/>
            <w:shd w:val="clear" w:color="auto" w:fill="EAF0FB"/>
          </w:tcPr>
          <w:p>
            <w:pPr>
              <w:jc w:val="center"/>
            </w:pPr>
            <w:r>
              <w:rPr>
                <w:sz w:val="18"/>
              </w:rPr>
            </w:r>
          </w:p>
        </w:tc>
      </w:tr>
      <w:tr>
        <w:tc>
          <w:tcPr>
            <w:tcW w:type="dxa" w:w="3135"/>
            <w:shd w:val="clear" w:color="auto" w:fill="FFFFFF"/>
          </w:tcPr>
          <w:p>
            <w:pPr>
              <w:jc w:val="left"/>
            </w:pPr>
            <w:r>
              <w:rPr>
                <w:sz w:val="18"/>
              </w:rPr>
            </w:r>
          </w:p>
        </w:tc>
        <w:tc>
          <w:tcPr>
            <w:tcW w:type="dxa" w:w="3135"/>
            <w:shd w:val="clear" w:color="auto" w:fill="FFFFFF"/>
          </w:tcPr>
          <w:p>
            <w:pPr>
              <w:jc w:val="left"/>
            </w:pPr>
            <w:r>
              <w:rPr>
                <w:sz w:val="18"/>
              </w:rPr>
              <w:t>Meta: 3 / 12 subprocesos = 25,00 %   →   Variación: −57,14 %</w:t>
            </w:r>
          </w:p>
        </w:tc>
        <w:tc>
          <w:tcPr>
            <w:tcW w:type="dxa" w:w="3135"/>
            <w:shd w:val="clear" w:color="auto" w:fill="FFFFFF"/>
          </w:tcPr>
          <w:p>
            <w:pPr>
              <w:jc w:val="center"/>
            </w:pPr>
            <w:r>
              <w:rPr>
                <w:sz w:val="18"/>
              </w:rPr>
            </w:r>
          </w:p>
        </w:tc>
      </w:tr>
    </w:tbl>
    <w:p>
      <w:pPr>
        <w:spacing w:before="0" w:after="120"/>
      </w:pPr>
    </w:p>
    <w:p>
      <w:pPr>
        <w:spacing w:after="80"/>
        <w:jc w:val="left"/>
        <w:pBdr>
          <w:bottom w:val="single" w:sz="6" w:space="1" w:color="1a3a5c"/>
        </w:pBdr>
      </w:pPr>
      <w:r>
        <w:rPr>
          <w:b/>
          <w:color w:val="1A3A5C"/>
          <w:sz w:val="26"/>
        </w:rPr>
        <w:t>3. Métricas del Indicador</w:t>
      </w:r>
    </w:p>
    <w:p>
      <w:pPr>
        <w:spacing w:before="0" w:after="40"/>
      </w:pPr>
    </w:p>
    <w:tbl>
      <w:tblPr>
        <w:tblStyle w:val="TableGrid"/>
        <w:tblW w:type="auto" w:w="0"/>
        <w:jc w:val="center"/>
        <w:tblLook w:firstColumn="1" w:firstRow="1" w:lastColumn="0" w:lastRow="0" w:noHBand="0" w:noVBand="1" w:val="04A0"/>
      </w:tblPr>
      <w:tblGrid>
        <w:gridCol w:w="1881"/>
        <w:gridCol w:w="1881"/>
        <w:gridCol w:w="1881"/>
        <w:gridCol w:w="1881"/>
        <w:gridCol w:w="1881"/>
      </w:tblGrid>
      <w:tr>
        <w:trPr>
          <w:trHeight w:val="397"/>
        </w:trPr>
        <w:tc>
          <w:tcPr>
            <w:tcW w:type="dxa" w:w="1881"/>
            <w:shd w:val="clear" w:color="auto" w:fill="C0392B"/>
            <w:vAlign w:val="center"/>
          </w:tcPr>
          <w:p>
            <w:pPr>
              <w:jc w:val="center"/>
            </w:pPr>
            <w:r>
              <w:rPr>
                <w:b/>
                <w:color w:val="FFFFFF"/>
                <w:sz w:val="18"/>
              </w:rPr>
              <w:t>Línea Base</w:t>
            </w:r>
          </w:p>
        </w:tc>
        <w:tc>
          <w:tcPr>
            <w:tcW w:type="dxa" w:w="1881"/>
            <w:shd w:val="clear" w:color="auto" w:fill="1A3A5C"/>
            <w:vAlign w:val="center"/>
          </w:tcPr>
          <w:p>
            <w:pPr>
              <w:jc w:val="center"/>
            </w:pPr>
            <w:r>
              <w:rPr>
                <w:b/>
                <w:color w:val="FFFFFF"/>
                <w:sz w:val="18"/>
              </w:rPr>
              <w:t>Mes de la Medición</w:t>
            </w:r>
          </w:p>
        </w:tc>
        <w:tc>
          <w:tcPr>
            <w:tcW w:type="dxa" w:w="1881"/>
            <w:shd w:val="clear" w:color="auto" w:fill="27AE60"/>
            <w:vAlign w:val="center"/>
          </w:tcPr>
          <w:p>
            <w:pPr>
              <w:jc w:val="center"/>
            </w:pPr>
            <w:r>
              <w:rPr>
                <w:b/>
                <w:color w:val="FFFFFF"/>
                <w:sz w:val="18"/>
              </w:rPr>
              <w:t>Meta del Indicador</w:t>
            </w:r>
          </w:p>
        </w:tc>
        <w:tc>
          <w:tcPr>
            <w:tcW w:type="dxa" w:w="1881"/>
            <w:shd w:val="clear" w:color="auto" w:fill="2471A3"/>
            <w:vAlign w:val="center"/>
          </w:tcPr>
          <w:p>
            <w:pPr>
              <w:jc w:val="center"/>
            </w:pPr>
            <w:r>
              <w:rPr>
                <w:b/>
                <w:color w:val="FFFFFF"/>
                <w:sz w:val="18"/>
              </w:rPr>
              <w:t>Variación Esperada</w:t>
            </w:r>
          </w:p>
        </w:tc>
        <w:tc>
          <w:tcPr>
            <w:tcW w:type="dxa" w:w="1881"/>
            <w:shd w:val="clear" w:color="auto" w:fill="5D6D7E"/>
            <w:vAlign w:val="center"/>
          </w:tcPr>
          <w:p>
            <w:pPr>
              <w:jc w:val="center"/>
            </w:pPr>
            <w:r>
              <w:rPr>
                <w:b/>
                <w:color w:val="FFFFFF"/>
                <w:sz w:val="18"/>
              </w:rPr>
              <w:t>Unidad de Medida</w:t>
            </w:r>
          </w:p>
        </w:tc>
      </w:tr>
      <w:tr>
        <w:trPr>
          <w:trHeight w:val="397"/>
        </w:trPr>
        <w:tc>
          <w:tcPr>
            <w:tcW w:type="dxa" w:w="1881"/>
            <w:shd w:val="clear" w:color="auto" w:fill="F7F9FC"/>
            <w:vAlign w:val="center"/>
          </w:tcPr>
          <w:p>
            <w:pPr>
              <w:jc w:val="center"/>
            </w:pPr>
            <w:r>
              <w:rPr>
                <w:b/>
                <w:color w:val="C0392B"/>
                <w:sz w:val="26"/>
              </w:rPr>
              <w:t>58,33</w:t>
            </w:r>
          </w:p>
        </w:tc>
        <w:tc>
          <w:tcPr>
            <w:tcW w:type="dxa" w:w="1881"/>
            <w:shd w:val="clear" w:color="auto" w:fill="F7F9FC"/>
            <w:vAlign w:val="center"/>
          </w:tcPr>
          <w:p>
            <w:pPr>
              <w:jc w:val="center"/>
            </w:pPr>
            <w:r>
              <w:rPr>
                <w:b/>
                <w:color w:val="1A3A5C"/>
                <w:sz w:val="26"/>
              </w:rPr>
              <w:t>Marzo de 2026</w:t>
            </w:r>
          </w:p>
        </w:tc>
        <w:tc>
          <w:tcPr>
            <w:tcW w:type="dxa" w:w="1881"/>
            <w:shd w:val="clear" w:color="auto" w:fill="F7F9FC"/>
            <w:vAlign w:val="center"/>
          </w:tcPr>
          <w:p>
            <w:pPr>
              <w:jc w:val="center"/>
            </w:pPr>
            <w:r>
              <w:rPr>
                <w:b/>
                <w:color w:val="27AE60"/>
                <w:sz w:val="26"/>
              </w:rPr>
              <w:t>25,00</w:t>
            </w:r>
          </w:p>
        </w:tc>
        <w:tc>
          <w:tcPr>
            <w:tcW w:type="dxa" w:w="1881"/>
            <w:shd w:val="clear" w:color="auto" w:fill="F7F9FC"/>
            <w:vAlign w:val="center"/>
          </w:tcPr>
          <w:p>
            <w:pPr>
              <w:jc w:val="center"/>
            </w:pPr>
            <w:r>
              <w:rPr>
                <w:b/>
                <w:color w:val="2471A3"/>
                <w:sz w:val="26"/>
              </w:rPr>
              <w:t>-57,14 %</w:t>
            </w:r>
          </w:p>
        </w:tc>
        <w:tc>
          <w:tcPr>
            <w:tcW w:type="dxa" w:w="1881"/>
            <w:shd w:val="clear" w:color="auto" w:fill="F7F9FC"/>
            <w:vAlign w:val="center"/>
          </w:tcPr>
          <w:p>
            <w:pPr>
              <w:jc w:val="center"/>
            </w:pPr>
            <w:r>
              <w:rPr>
                <w:b/>
                <w:color w:val="5D6D7E"/>
                <w:sz w:val="26"/>
              </w:rPr>
              <w:t>Porcentaje (%) de subprocesos del ciclo productivo con contacto directo con el cliente externo</w:t>
            </w:r>
          </w:p>
        </w:tc>
      </w:tr>
    </w:tbl>
    <w:p>
      <w:pPr>
        <w:spacing w:before="0" w:after="120"/>
      </w:pPr>
    </w:p>
    <w:p>
      <w:pPr>
        <w:spacing w:after="80"/>
        <w:jc w:val="left"/>
        <w:pBdr>
          <w:bottom w:val="single" w:sz="6" w:space="1" w:color="1a3a5c"/>
        </w:pBdr>
      </w:pPr>
      <w:r>
        <w:rPr>
          <w:b/>
          <w:color w:val="1A3A5C"/>
          <w:sz w:val="26"/>
        </w:rPr>
        <w:t>4. Entregable de Soporte</w:t>
      </w:r>
    </w:p>
    <w:p>
      <w:pPr>
        <w:spacing w:after="40"/>
        <w:ind w:left="283"/>
      </w:pPr>
      <w:r>
        <w:rPr>
          <w:b w:val="0"/>
          <w:i/>
          <w:color w:val="154360"/>
          <w:sz w:val="20"/>
          <w:u w:val="none"/>
        </w:rPr>
        <w:t>Reporte_Mediciones_CNTXT_PT2.xlsx (hoja IPT-5 OPC)</w:t>
      </w:r>
    </w:p>
    <w:p>
      <w:r>
        <w:br w:type="page"/>
      </w:r>
    </w:p>
    <w:tbl>
      <w:tblPr>
        <w:tblStyle w:val="TableGrid"/>
        <w:tblW w:type="auto" w:w="0"/>
        <w:jc w:val="left"/>
        <w:tblLook w:firstColumn="1" w:firstRow="1" w:lastColumn="0" w:lastRow="0" w:noHBand="0" w:noVBand="1" w:val="04A0"/>
      </w:tblPr>
      <w:tblGrid>
        <w:gridCol w:w="7370"/>
        <w:gridCol w:w="2268"/>
      </w:tblGrid>
      <w:tr>
        <w:trPr>
          <w:trHeight w:val="425"/>
        </w:trPr>
        <w:tc>
          <w:tcPr>
            <w:tcW w:type="dxa" w:w="4703"/>
            <w:shd w:val="clear" w:color="auto" w:fill="7D3C98"/>
          </w:tcPr>
          <w:p>
            <w:pPr>
              <w:jc w:val="left"/>
            </w:pPr>
            <w:r>
              <w:rPr>
                <w:b/>
                <w:color w:val="FFFFFF"/>
                <w:sz w:val="24"/>
              </w:rPr>
              <w:t xml:space="preserve">  IPT-6  —  Impacto Ambiental: Consumo de Recursos por Servicio Prestado (IA)</w:t>
            </w:r>
          </w:p>
        </w:tc>
        <w:tc>
          <w:tcPr>
            <w:tcW w:type="dxa" w:w="4703"/>
            <w:shd w:val="clear" w:color="auto" w:fill="7D3C98"/>
          </w:tcPr>
          <w:p>
            <w:pPr>
              <w:jc w:val="right"/>
            </w:pPr>
            <w:r>
              <w:rPr>
                <w:color w:val="FFFFFF"/>
                <w:sz w:val="18"/>
              </w:rPr>
              <w:t xml:space="preserve">[ Variable — Sostenibilidad Ambiental ]  </w:t>
            </w:r>
          </w:p>
        </w:tc>
      </w:tr>
    </w:tbl>
    <w:p>
      <w:pPr>
        <w:spacing w:before="0" w:after="120"/>
      </w:pPr>
    </w:p>
    <w:p>
      <w:pPr>
        <w:spacing w:after="80"/>
        <w:jc w:val="left"/>
        <w:pBdr>
          <w:bottom w:val="single" w:sz="6" w:space="1" w:color="1a3a5c"/>
        </w:pBdr>
      </w:pPr>
      <w:r>
        <w:rPr>
          <w:b/>
          <w:color w:val="1A3A5C"/>
          <w:sz w:val="26"/>
        </w:rPr>
        <w:t>1. Nombre del Indicador</w:t>
      </w:r>
    </w:p>
    <w:p>
      <w:pPr>
        <w:spacing w:after="80"/>
        <w:ind w:left="283"/>
      </w:pPr>
      <w:r>
        <w:rPr>
          <w:b/>
          <w:i w:val="0"/>
          <w:color w:val="1A3A5C"/>
          <w:sz w:val="22"/>
          <w:u w:val="none"/>
        </w:rPr>
        <w:t>Impacto Ambiental: Consumo de Recursos por Servicio Prestado (IA)</w:t>
      </w:r>
    </w:p>
    <w:p>
      <w:pPr>
        <w:spacing w:before="0" w:after="80"/>
      </w:pPr>
    </w:p>
    <w:p>
      <w:pPr>
        <w:spacing w:after="80"/>
        <w:jc w:val="left"/>
        <w:pBdr>
          <w:bottom w:val="single" w:sz="6" w:space="1" w:color="1a3a5c"/>
        </w:pBdr>
      </w:pPr>
      <w:r>
        <w:rPr>
          <w:b/>
          <w:color w:val="1A3A5C"/>
          <w:sz w:val="26"/>
        </w:rPr>
        <w:t>2. Cálculo de la Medición</w:t>
      </w:r>
    </w:p>
    <w:p>
      <w:pPr>
        <w:spacing w:before="20" w:after="20"/>
        <w:ind w:left="283"/>
      </w:pPr>
      <w:r>
        <w:rPr>
          <w:b w:val="0"/>
          <w:i w:val="0"/>
          <w:sz w:val="20"/>
          <w:u w:val="none"/>
        </w:rPr>
        <w:t>La medición se realiza sobre el consumo mensual de papel asociado a procesos documentales de gestión de proyectos en CNTXT, para el portafolio de 13 proyectos activos. Se realizó un inventario físico de los tipos de documentos impresos mensualmente y sus cantidades. El alcance se mantendrá idéntico en las mediciones intermedia y de salida.</w:t>
      </w:r>
    </w:p>
    <w:p>
      <w:pPr>
        <w:spacing w:before="20" w:after="20"/>
        <w:ind w:left="283"/>
      </w:pPr>
      <w:r>
        <w:rPr>
          <w:b w:val="0"/>
          <w:i w:val="0"/>
          <w:sz w:val="20"/>
          <w:u w:val="none"/>
        </w:rPr>
      </w:r>
    </w:p>
    <w:p>
      <w:pPr>
        <w:spacing w:before="20" w:after="20"/>
        <w:ind w:left="283"/>
      </w:pPr>
      <w:r>
        <w:rPr>
          <w:b w:val="0"/>
          <w:i w:val="0"/>
          <w:sz w:val="20"/>
          <w:u w:val="none"/>
        </w:rPr>
        <w:t>Fórmula aplicada: IA = Σ (Frecuencia mensual × Número de hojas por tipo de documento).</w:t>
      </w:r>
    </w:p>
    <w:p>
      <w:pPr>
        <w:spacing w:before="20" w:after="20"/>
        <w:ind w:left="283"/>
      </w:pPr>
      <w:r>
        <w:rPr>
          <w:b w:val="0"/>
          <w:i w:val="0"/>
          <w:sz w:val="20"/>
          <w:u w:val="none"/>
        </w:rPr>
        <w:t>El resultado se expresa en hojas de papel por mes.</w:t>
      </w:r>
    </w:p>
    <w:p>
      <w:pPr>
        <w:spacing w:before="20" w:after="20"/>
        <w:ind w:left="283"/>
      </w:pPr>
      <w:r>
        <w:rPr>
          <w:b w:val="0"/>
          <w:i w:val="0"/>
          <w:sz w:val="20"/>
          <w:u w:val="none"/>
        </w:rPr>
      </w:r>
    </w:p>
    <w:p>
      <w:pPr>
        <w:spacing w:before="20" w:after="20"/>
        <w:ind w:left="283"/>
      </w:pPr>
      <w:r>
        <w:rPr>
          <w:b w:val="0"/>
          <w:i w:val="0"/>
          <w:sz w:val="20"/>
          <w:u w:val="none"/>
        </w:rPr>
        <w:t xml:space="preserve">  • Documento 1 — Reportes ejecutivos impresos para reuniones presenciales con equipo directivo:</w:t>
      </w:r>
    </w:p>
    <w:p>
      <w:pPr>
        <w:spacing w:before="20" w:after="20"/>
        <w:ind w:left="283"/>
      </w:pPr>
      <w:r>
        <w:rPr>
          <w:b w:val="0"/>
          <w:i w:val="0"/>
          <w:sz w:val="20"/>
          <w:u w:val="none"/>
        </w:rPr>
        <w:t xml:space="preserve">    40 hojas/mes (4 reuniones × 10 hojas promedio).</w:t>
      </w:r>
    </w:p>
    <w:p>
      <w:pPr>
        <w:spacing w:before="20" w:after="20"/>
        <w:ind w:left="283"/>
      </w:pPr>
      <w:r>
        <w:rPr>
          <w:b w:val="0"/>
          <w:i w:val="0"/>
          <w:sz w:val="20"/>
          <w:u w:val="none"/>
        </w:rPr>
      </w:r>
    </w:p>
    <w:p>
      <w:pPr>
        <w:spacing w:before="20" w:after="20"/>
        <w:ind w:left="283"/>
      </w:pPr>
      <w:r>
        <w:rPr>
          <w:b w:val="0"/>
          <w:i w:val="0"/>
          <w:sz w:val="20"/>
          <w:u w:val="none"/>
        </w:rPr>
        <w:t xml:space="preserve">  • Documento 2 — Presentaciones de avance de proyectos impresas para reuniones con clientes:</w:t>
      </w:r>
    </w:p>
    <w:p>
      <w:pPr>
        <w:spacing w:before="20" w:after="20"/>
        <w:ind w:left="283"/>
      </w:pPr>
      <w:r>
        <w:rPr>
          <w:b w:val="0"/>
          <w:i w:val="0"/>
          <w:sz w:val="20"/>
          <w:u w:val="none"/>
        </w:rPr>
        <w:t xml:space="preserve">    60 hojas/mes (distribuidas entre 13 proyectos activos).</w:t>
      </w:r>
    </w:p>
    <w:p>
      <w:pPr>
        <w:spacing w:before="20" w:after="20"/>
        <w:ind w:left="283"/>
      </w:pPr>
      <w:r>
        <w:rPr>
          <w:b w:val="0"/>
          <w:i w:val="0"/>
          <w:sz w:val="20"/>
          <w:u w:val="none"/>
        </w:rPr>
      </w:r>
    </w:p>
    <w:p>
      <w:pPr>
        <w:spacing w:before="20" w:after="20"/>
        <w:ind w:left="283"/>
      </w:pPr>
      <w:r>
        <w:rPr>
          <w:b w:val="0"/>
          <w:i w:val="0"/>
          <w:sz w:val="20"/>
          <w:u w:val="none"/>
        </w:rPr>
        <w:t xml:space="preserve">  • Documento 3 — Planos y renders impresos para aprobación de clientes en reuniones presenciales:</w:t>
      </w:r>
    </w:p>
    <w:p>
      <w:pPr>
        <w:spacing w:before="20" w:after="20"/>
        <w:ind w:left="283"/>
      </w:pPr>
      <w:r>
        <w:rPr>
          <w:b w:val="0"/>
          <w:i w:val="0"/>
          <w:sz w:val="20"/>
          <w:u w:val="none"/>
        </w:rPr>
        <w:t xml:space="preserve">    30 hojas/mes.</w:t>
      </w:r>
    </w:p>
    <w:p>
      <w:pPr>
        <w:spacing w:before="20" w:after="20"/>
        <w:ind w:left="283"/>
      </w:pPr>
      <w:r>
        <w:rPr>
          <w:b w:val="0"/>
          <w:i w:val="0"/>
          <w:sz w:val="20"/>
          <w:u w:val="none"/>
        </w:rPr>
      </w:r>
    </w:p>
    <w:p>
      <w:pPr>
        <w:spacing w:before="20" w:after="20"/>
        <w:ind w:left="283"/>
      </w:pPr>
      <w:r>
        <w:rPr>
          <w:b w:val="0"/>
          <w:i w:val="0"/>
          <w:sz w:val="20"/>
          <w:u w:val="none"/>
        </w:rPr>
        <w:t xml:space="preserve">  • Documento 4 — Documentación de soporte de gestión de proyectos (actas de seguimiento, fichas de entregables):</w:t>
      </w:r>
    </w:p>
    <w:p>
      <w:pPr>
        <w:spacing w:before="20" w:after="20"/>
        <w:ind w:left="283"/>
      </w:pPr>
      <w:r>
        <w:rPr>
          <w:b w:val="0"/>
          <w:i w:val="0"/>
          <w:sz w:val="20"/>
          <w:u w:val="none"/>
        </w:rPr>
        <w:t xml:space="preserve">    25 hojas/mes.</w:t>
      </w:r>
    </w:p>
    <w:p>
      <w:pPr>
        <w:spacing w:before="20" w:after="20"/>
        <w:ind w:left="283"/>
      </w:pPr>
      <w:r>
        <w:rPr>
          <w:b w:val="0"/>
          <w:i w:val="0"/>
          <w:sz w:val="20"/>
          <w:u w:val="none"/>
        </w:rPr>
      </w:r>
    </w:p>
    <w:p>
      <w:pPr>
        <w:spacing w:before="20" w:after="20"/>
        <w:ind w:left="283"/>
      </w:pPr>
      <w:r>
        <w:rPr>
          <w:b w:val="0"/>
          <w:i w:val="0"/>
          <w:sz w:val="20"/>
          <w:u w:val="none"/>
        </w:rPr>
        <w:t xml:space="preserve">  • Documento 5 — Copias de respaldo de información crítica de proyectos:</w:t>
      </w:r>
    </w:p>
    <w:p>
      <w:pPr>
        <w:spacing w:before="20" w:after="20"/>
        <w:ind w:left="283"/>
      </w:pPr>
      <w:r>
        <w:rPr>
          <w:b w:val="0"/>
          <w:i w:val="0"/>
          <w:sz w:val="20"/>
          <w:u w:val="none"/>
        </w:rPr>
        <w:t xml:space="preserve">    15 hojas/mes.</w:t>
      </w:r>
    </w:p>
    <w:p>
      <w:pPr>
        <w:spacing w:before="20" w:after="20"/>
        <w:ind w:left="283"/>
      </w:pPr>
      <w:r>
        <w:rPr>
          <w:b w:val="0"/>
          <w:i w:val="0"/>
          <w:sz w:val="20"/>
          <w:u w:val="none"/>
        </w:rPr>
      </w:r>
    </w:p>
    <w:p>
      <w:pPr>
        <w:spacing w:before="20" w:after="20"/>
        <w:ind w:left="283"/>
      </w:pPr>
      <w:r>
        <w:rPr>
          <w:b w:val="0"/>
          <w:i w:val="0"/>
          <w:sz w:val="20"/>
          <w:u w:val="none"/>
        </w:rPr>
        <w:t>TOTAL IA línea base: 40 + 60 + 30 + 25 + 15 = 170 hojas/mes (Marzo 2026).</w:t>
      </w:r>
    </w:p>
    <w:p>
      <w:pPr>
        <w:spacing w:before="20" w:after="20"/>
        <w:ind w:left="283"/>
      </w:pPr>
      <w:r>
        <w:rPr>
          <w:b w:val="0"/>
          <w:i w:val="0"/>
          <w:sz w:val="20"/>
          <w:u w:val="none"/>
        </w:rPr>
        <w:t>META IA: 145 hojas/mes (reducción del 14,71 %).</w:t>
      </w:r>
    </w:p>
    <w:p>
      <w:pPr>
        <w:spacing w:before="20" w:after="20"/>
        <w:ind w:left="283"/>
      </w:pPr>
      <w:r>
        <w:rPr>
          <w:b w:val="0"/>
          <w:i w:val="0"/>
          <w:sz w:val="20"/>
          <w:u w:val="none"/>
        </w:rPr>
      </w:r>
    </w:p>
    <w:p>
      <w:pPr>
        <w:spacing w:before="20" w:after="20"/>
        <w:ind w:left="283"/>
      </w:pPr>
      <w:r>
        <w:rPr>
          <w:b w:val="0"/>
          <w:i w:val="0"/>
          <w:sz w:val="20"/>
          <w:u w:val="none"/>
        </w:rPr>
        <w:t>Nota: el Documento 4 presenta una meta de 30 hojas (vs. 25 en línea base) debido a que la implementación del módulo de prerrequisitos de Central Contexto 2.0 genera inicialmente un incremento controlado en actas digitales que aún requieren validación física; la reducción neta total se mantiene en 25 hojas/mes gracias a la eliminación de los reportes ejecutivos impresos.</w:t>
      </w:r>
    </w:p>
    <w:p>
      <w:pPr>
        <w:spacing w:before="20" w:after="20"/>
        <w:ind w:left="283"/>
      </w:pPr>
      <w:r>
        <w:rPr>
          <w:b w:val="0"/>
          <w:i w:val="0"/>
          <w:sz w:val="20"/>
          <w:u w:val="none"/>
        </w:rPr>
      </w:r>
    </w:p>
    <w:p>
      <w:pPr>
        <w:spacing w:before="20" w:after="20"/>
        <w:ind w:left="283"/>
      </w:pPr>
      <w:r>
        <w:rPr>
          <w:b w:val="0"/>
          <w:i w:val="0"/>
          <w:sz w:val="20"/>
          <w:u w:val="none"/>
        </w:rPr>
        <w:t>Período de la medición: mes de marzo de 2026. Inventario físico levantado durante la primera semana de marzo de 2026. La temporalidad se expresa mensualmente conforme a la ficha técnica del indicador.</w:t>
      </w:r>
    </w:p>
    <w:p>
      <w:pPr>
        <w:spacing w:before="0" w:after="80"/>
      </w:pP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7D3C98"/>
          </w:tcPr>
          <w:p>
            <w:pPr>
              <w:jc w:val="center"/>
            </w:pPr>
            <w:r>
              <w:rPr>
                <w:b/>
                <w:color w:val="FFFFFF"/>
                <w:sz w:val="18"/>
              </w:rPr>
              <w:t>Documento</w:t>
            </w:r>
          </w:p>
        </w:tc>
        <w:tc>
          <w:tcPr>
            <w:tcW w:type="dxa" w:w="1881"/>
            <w:shd w:val="clear" w:color="auto" w:fill="7D3C98"/>
          </w:tcPr>
          <w:p>
            <w:pPr>
              <w:jc w:val="center"/>
            </w:pPr>
            <w:r>
              <w:rPr>
                <w:b/>
                <w:color w:val="FFFFFF"/>
                <w:sz w:val="18"/>
              </w:rPr>
              <w:t>Descripción</w:t>
            </w:r>
          </w:p>
        </w:tc>
        <w:tc>
          <w:tcPr>
            <w:tcW w:type="dxa" w:w="1881"/>
            <w:shd w:val="clear" w:color="auto" w:fill="7D3C98"/>
          </w:tcPr>
          <w:p>
            <w:pPr>
              <w:jc w:val="center"/>
            </w:pPr>
            <w:r>
              <w:rPr>
                <w:b/>
                <w:color w:val="FFFFFF"/>
                <w:sz w:val="18"/>
              </w:rPr>
              <w:t>Línea base</w:t>
            </w:r>
          </w:p>
        </w:tc>
        <w:tc>
          <w:tcPr>
            <w:tcW w:type="dxa" w:w="1881"/>
            <w:shd w:val="clear" w:color="auto" w:fill="7D3C98"/>
          </w:tcPr>
          <w:p>
            <w:pPr>
              <w:jc w:val="center"/>
            </w:pPr>
            <w:r>
              <w:rPr>
                <w:b/>
                <w:color w:val="FFFFFF"/>
                <w:sz w:val="18"/>
              </w:rPr>
              <w:t>Meta</w:t>
            </w:r>
          </w:p>
        </w:tc>
        <w:tc>
          <w:tcPr>
            <w:tcW w:type="dxa" w:w="1881"/>
            <w:shd w:val="clear" w:color="auto" w:fill="7D3C98"/>
          </w:tcPr>
          <w:p>
            <w:pPr>
              <w:jc w:val="center"/>
            </w:pPr>
            <w:r>
              <w:rPr>
                <w:b/>
                <w:color w:val="FFFFFF"/>
                <w:sz w:val="18"/>
              </w:rPr>
              <w:t>Reducción / Acción</w:t>
            </w:r>
          </w:p>
        </w:tc>
      </w:tr>
      <w:tr>
        <w:tc>
          <w:tcPr>
            <w:tcW w:type="dxa" w:w="1881"/>
            <w:shd w:val="clear" w:color="auto" w:fill="FFFFFF"/>
          </w:tcPr>
          <w:p>
            <w:pPr>
              <w:jc w:val="left"/>
            </w:pPr>
            <w:r>
              <w:rPr>
                <w:sz w:val="18"/>
              </w:rPr>
              <w:t>Doc 1</w:t>
            </w:r>
          </w:p>
        </w:tc>
        <w:tc>
          <w:tcPr>
            <w:tcW w:type="dxa" w:w="1881"/>
            <w:shd w:val="clear" w:color="auto" w:fill="FFFFFF"/>
          </w:tcPr>
          <w:p>
            <w:pPr>
              <w:jc w:val="left"/>
            </w:pPr>
            <w:r>
              <w:rPr>
                <w:sz w:val="18"/>
              </w:rPr>
              <w:t>Reportes ejecutivos para equipo directivo</w:t>
            </w:r>
          </w:p>
        </w:tc>
        <w:tc>
          <w:tcPr>
            <w:tcW w:type="dxa" w:w="1881"/>
            <w:shd w:val="clear" w:color="auto" w:fill="FFFFFF"/>
          </w:tcPr>
          <w:p>
            <w:pPr>
              <w:jc w:val="center"/>
            </w:pPr>
            <w:r>
              <w:rPr>
                <w:sz w:val="18"/>
              </w:rPr>
              <w:t>40 h/mes</w:t>
            </w:r>
          </w:p>
        </w:tc>
        <w:tc>
          <w:tcPr>
            <w:tcW w:type="dxa" w:w="1881"/>
            <w:shd w:val="clear" w:color="auto" w:fill="FFFFFF"/>
          </w:tcPr>
          <w:p>
            <w:pPr>
              <w:jc w:val="center"/>
            </w:pPr>
            <w:r>
              <w:rPr>
                <w:sz w:val="18"/>
              </w:rPr>
              <w:t>15 h/mes</w:t>
            </w:r>
          </w:p>
        </w:tc>
        <w:tc>
          <w:tcPr>
            <w:tcW w:type="dxa" w:w="1881"/>
            <w:shd w:val="clear" w:color="auto" w:fill="FFFFFF"/>
          </w:tcPr>
          <w:p>
            <w:pPr>
              <w:jc w:val="center"/>
            </w:pPr>
            <w:r>
              <w:rPr>
                <w:sz w:val="18"/>
              </w:rPr>
              <w:t>−25 h. Dashboard digital</w:t>
            </w:r>
          </w:p>
        </w:tc>
      </w:tr>
      <w:tr>
        <w:tc>
          <w:tcPr>
            <w:tcW w:type="dxa" w:w="1881"/>
            <w:shd w:val="clear" w:color="auto" w:fill="EAF0FB"/>
          </w:tcPr>
          <w:p>
            <w:pPr>
              <w:jc w:val="left"/>
            </w:pPr>
            <w:r>
              <w:rPr>
                <w:sz w:val="18"/>
              </w:rPr>
              <w:t>Doc 2</w:t>
            </w:r>
          </w:p>
        </w:tc>
        <w:tc>
          <w:tcPr>
            <w:tcW w:type="dxa" w:w="1881"/>
            <w:shd w:val="clear" w:color="auto" w:fill="EAF0FB"/>
          </w:tcPr>
          <w:p>
            <w:pPr>
              <w:jc w:val="left"/>
            </w:pPr>
            <w:r>
              <w:rPr>
                <w:sz w:val="18"/>
              </w:rPr>
              <w:t>Presentaciones de avance para clientes</w:t>
            </w:r>
          </w:p>
        </w:tc>
        <w:tc>
          <w:tcPr>
            <w:tcW w:type="dxa" w:w="1881"/>
            <w:shd w:val="clear" w:color="auto" w:fill="EAF0FB"/>
          </w:tcPr>
          <w:p>
            <w:pPr>
              <w:jc w:val="center"/>
            </w:pPr>
            <w:r>
              <w:rPr>
                <w:sz w:val="18"/>
              </w:rPr>
              <w:t>60 h/mes</w:t>
            </w:r>
          </w:p>
        </w:tc>
        <w:tc>
          <w:tcPr>
            <w:tcW w:type="dxa" w:w="1881"/>
            <w:shd w:val="clear" w:color="auto" w:fill="EAF0FB"/>
          </w:tcPr>
          <w:p>
            <w:pPr>
              <w:jc w:val="center"/>
            </w:pPr>
            <w:r>
              <w:rPr>
                <w:sz w:val="18"/>
              </w:rPr>
              <w:t>55 h/mes</w:t>
            </w:r>
          </w:p>
        </w:tc>
        <w:tc>
          <w:tcPr>
            <w:tcW w:type="dxa" w:w="1881"/>
            <w:shd w:val="clear" w:color="auto" w:fill="EAF0FB"/>
          </w:tcPr>
          <w:p>
            <w:pPr>
              <w:jc w:val="center"/>
            </w:pPr>
            <w:r>
              <w:rPr>
                <w:sz w:val="18"/>
              </w:rPr>
              <w:t>−5 h.  PDF digital parcial</w:t>
            </w:r>
          </w:p>
        </w:tc>
      </w:tr>
      <w:tr>
        <w:tc>
          <w:tcPr>
            <w:tcW w:type="dxa" w:w="1881"/>
            <w:shd w:val="clear" w:color="auto" w:fill="FFFFFF"/>
          </w:tcPr>
          <w:p>
            <w:pPr>
              <w:jc w:val="left"/>
            </w:pPr>
            <w:r>
              <w:rPr>
                <w:sz w:val="18"/>
              </w:rPr>
              <w:t>Doc 3</w:t>
            </w:r>
          </w:p>
        </w:tc>
        <w:tc>
          <w:tcPr>
            <w:tcW w:type="dxa" w:w="1881"/>
            <w:shd w:val="clear" w:color="auto" w:fill="FFFFFF"/>
          </w:tcPr>
          <w:p>
            <w:pPr>
              <w:jc w:val="left"/>
            </w:pPr>
            <w:r>
              <w:rPr>
                <w:sz w:val="18"/>
              </w:rPr>
              <w:t>Planos y renders para aprobación cliente</w:t>
            </w:r>
          </w:p>
        </w:tc>
        <w:tc>
          <w:tcPr>
            <w:tcW w:type="dxa" w:w="1881"/>
            <w:shd w:val="clear" w:color="auto" w:fill="FFFFFF"/>
          </w:tcPr>
          <w:p>
            <w:pPr>
              <w:jc w:val="center"/>
            </w:pPr>
            <w:r>
              <w:rPr>
                <w:sz w:val="18"/>
              </w:rPr>
              <w:t>30 h/mes</w:t>
            </w:r>
          </w:p>
        </w:tc>
        <w:tc>
          <w:tcPr>
            <w:tcW w:type="dxa" w:w="1881"/>
            <w:shd w:val="clear" w:color="auto" w:fill="FFFFFF"/>
          </w:tcPr>
          <w:p>
            <w:pPr>
              <w:jc w:val="center"/>
            </w:pPr>
            <w:r>
              <w:rPr>
                <w:sz w:val="18"/>
              </w:rPr>
              <w:t>30 h/mes</w:t>
            </w:r>
          </w:p>
        </w:tc>
        <w:tc>
          <w:tcPr>
            <w:tcW w:type="dxa" w:w="1881"/>
            <w:shd w:val="clear" w:color="auto" w:fill="FFFFFF"/>
          </w:tcPr>
          <w:p>
            <w:pPr>
              <w:jc w:val="center"/>
            </w:pPr>
            <w:r>
              <w:rPr>
                <w:sz w:val="18"/>
              </w:rPr>
              <w:t>0 h. Req. cliente físico</w:t>
            </w:r>
          </w:p>
        </w:tc>
      </w:tr>
      <w:tr>
        <w:tc>
          <w:tcPr>
            <w:tcW w:type="dxa" w:w="1881"/>
            <w:shd w:val="clear" w:color="auto" w:fill="EAF0FB"/>
          </w:tcPr>
          <w:p>
            <w:pPr>
              <w:jc w:val="left"/>
            </w:pPr>
            <w:r>
              <w:rPr>
                <w:sz w:val="18"/>
              </w:rPr>
              <w:t>Doc 4</w:t>
            </w:r>
          </w:p>
        </w:tc>
        <w:tc>
          <w:tcPr>
            <w:tcW w:type="dxa" w:w="1881"/>
            <w:shd w:val="clear" w:color="auto" w:fill="EAF0FB"/>
          </w:tcPr>
          <w:p>
            <w:pPr>
              <w:jc w:val="left"/>
            </w:pPr>
            <w:r>
              <w:rPr>
                <w:sz w:val="18"/>
              </w:rPr>
              <w:t>Soporte gestión (actas, fichas)</w:t>
            </w:r>
          </w:p>
        </w:tc>
        <w:tc>
          <w:tcPr>
            <w:tcW w:type="dxa" w:w="1881"/>
            <w:shd w:val="clear" w:color="auto" w:fill="EAF0FB"/>
          </w:tcPr>
          <w:p>
            <w:pPr>
              <w:jc w:val="center"/>
            </w:pPr>
            <w:r>
              <w:rPr>
                <w:sz w:val="18"/>
              </w:rPr>
              <w:t>25 h/mes</w:t>
            </w:r>
          </w:p>
        </w:tc>
        <w:tc>
          <w:tcPr>
            <w:tcW w:type="dxa" w:w="1881"/>
            <w:shd w:val="clear" w:color="auto" w:fill="EAF0FB"/>
          </w:tcPr>
          <w:p>
            <w:pPr>
              <w:jc w:val="center"/>
            </w:pPr>
            <w:r>
              <w:rPr>
                <w:sz w:val="18"/>
              </w:rPr>
              <w:t>30 h/mes</w:t>
            </w:r>
          </w:p>
        </w:tc>
        <w:tc>
          <w:tcPr>
            <w:tcW w:type="dxa" w:w="1881"/>
            <w:shd w:val="clear" w:color="auto" w:fill="EAF0FB"/>
          </w:tcPr>
          <w:p>
            <w:pPr>
              <w:jc w:val="center"/>
            </w:pPr>
            <w:r>
              <w:rPr>
                <w:sz w:val="18"/>
              </w:rPr>
              <w:t>+5 h. Módulo prerreqs.</w:t>
            </w:r>
          </w:p>
        </w:tc>
      </w:tr>
      <w:tr>
        <w:tc>
          <w:tcPr>
            <w:tcW w:type="dxa" w:w="1881"/>
            <w:shd w:val="clear" w:color="auto" w:fill="FFFFFF"/>
          </w:tcPr>
          <w:p>
            <w:pPr>
              <w:jc w:val="left"/>
            </w:pPr>
            <w:r>
              <w:rPr>
                <w:sz w:val="18"/>
              </w:rPr>
              <w:t>Doc 5</w:t>
            </w:r>
          </w:p>
        </w:tc>
        <w:tc>
          <w:tcPr>
            <w:tcW w:type="dxa" w:w="1881"/>
            <w:shd w:val="clear" w:color="auto" w:fill="FFFFFF"/>
          </w:tcPr>
          <w:p>
            <w:pPr>
              <w:jc w:val="left"/>
            </w:pPr>
            <w:r>
              <w:rPr>
                <w:sz w:val="18"/>
              </w:rPr>
              <w:t>Copias de respaldo información crítica</w:t>
            </w:r>
          </w:p>
        </w:tc>
        <w:tc>
          <w:tcPr>
            <w:tcW w:type="dxa" w:w="1881"/>
            <w:shd w:val="clear" w:color="auto" w:fill="FFFFFF"/>
          </w:tcPr>
          <w:p>
            <w:pPr>
              <w:jc w:val="center"/>
            </w:pPr>
            <w:r>
              <w:rPr>
                <w:sz w:val="18"/>
              </w:rPr>
              <w:t>15 h/mes</w:t>
            </w:r>
          </w:p>
        </w:tc>
        <w:tc>
          <w:tcPr>
            <w:tcW w:type="dxa" w:w="1881"/>
            <w:shd w:val="clear" w:color="auto" w:fill="FFFFFF"/>
          </w:tcPr>
          <w:p>
            <w:pPr>
              <w:jc w:val="center"/>
            </w:pPr>
            <w:r>
              <w:rPr>
                <w:sz w:val="18"/>
              </w:rPr>
              <w:t>15 h/mes</w:t>
            </w:r>
          </w:p>
        </w:tc>
        <w:tc>
          <w:tcPr>
            <w:tcW w:type="dxa" w:w="1881"/>
            <w:shd w:val="clear" w:color="auto" w:fill="FFFFFF"/>
          </w:tcPr>
          <w:p>
            <w:pPr>
              <w:jc w:val="center"/>
            </w:pPr>
            <w:r>
              <w:rPr>
                <w:sz w:val="18"/>
              </w:rPr>
              <w:t>0 h. Política interna</w:t>
            </w:r>
          </w:p>
        </w:tc>
      </w:tr>
      <w:tr>
        <w:tc>
          <w:tcPr>
            <w:tcW w:type="dxa" w:w="1881"/>
            <w:shd w:val="clear" w:color="auto" w:fill="EAF0FB"/>
          </w:tcPr>
          <w:p>
            <w:pPr>
              <w:jc w:val="left"/>
            </w:pPr>
            <w:r>
              <w:rPr>
                <w:sz w:val="18"/>
              </w:rPr>
              <w:t>TOTAL</w:t>
            </w:r>
          </w:p>
        </w:tc>
        <w:tc>
          <w:tcPr>
            <w:tcW w:type="dxa" w:w="1881"/>
            <w:shd w:val="clear" w:color="auto" w:fill="EAF0FB"/>
          </w:tcPr>
          <w:p>
            <w:pPr>
              <w:jc w:val="left"/>
            </w:pPr>
            <w:r>
              <w:rPr>
                <w:sz w:val="18"/>
              </w:rPr>
            </w:r>
          </w:p>
        </w:tc>
        <w:tc>
          <w:tcPr>
            <w:tcW w:type="dxa" w:w="1881"/>
            <w:shd w:val="clear" w:color="auto" w:fill="EAF0FB"/>
          </w:tcPr>
          <w:p>
            <w:pPr>
              <w:jc w:val="center"/>
            </w:pPr>
            <w:r>
              <w:rPr>
                <w:sz w:val="18"/>
              </w:rPr>
              <w:t>170 hojas/mes</w:t>
            </w:r>
          </w:p>
        </w:tc>
        <w:tc>
          <w:tcPr>
            <w:tcW w:type="dxa" w:w="1881"/>
            <w:shd w:val="clear" w:color="auto" w:fill="EAF0FB"/>
          </w:tcPr>
          <w:p>
            <w:pPr>
              <w:jc w:val="center"/>
            </w:pPr>
            <w:r>
              <w:rPr>
                <w:sz w:val="18"/>
              </w:rPr>
              <w:t>145 hojas/mes</w:t>
            </w:r>
          </w:p>
        </w:tc>
        <w:tc>
          <w:tcPr>
            <w:tcW w:type="dxa" w:w="1881"/>
            <w:shd w:val="clear" w:color="auto" w:fill="EAF0FB"/>
          </w:tcPr>
          <w:p>
            <w:pPr>
              <w:jc w:val="center"/>
            </w:pPr>
            <w:r>
              <w:rPr>
                <w:sz w:val="18"/>
              </w:rPr>
              <w:t>−25 hojas/mes (−14,71 %)</w:t>
            </w:r>
          </w:p>
        </w:tc>
      </w:tr>
    </w:tbl>
    <w:p>
      <w:pPr>
        <w:spacing w:before="0" w:after="120"/>
      </w:pPr>
    </w:p>
    <w:p>
      <w:pPr>
        <w:spacing w:after="80"/>
        <w:jc w:val="left"/>
        <w:pBdr>
          <w:bottom w:val="single" w:sz="6" w:space="1" w:color="1a3a5c"/>
        </w:pBdr>
      </w:pPr>
      <w:r>
        <w:rPr>
          <w:b/>
          <w:color w:val="1A3A5C"/>
          <w:sz w:val="26"/>
        </w:rPr>
        <w:t>3. Métricas del Indicador</w:t>
      </w:r>
    </w:p>
    <w:p>
      <w:pPr>
        <w:spacing w:before="0" w:after="40"/>
      </w:pPr>
    </w:p>
    <w:tbl>
      <w:tblPr>
        <w:tblStyle w:val="TableGrid"/>
        <w:tblW w:type="auto" w:w="0"/>
        <w:jc w:val="center"/>
        <w:tblLook w:firstColumn="1" w:firstRow="1" w:lastColumn="0" w:lastRow="0" w:noHBand="0" w:noVBand="1" w:val="04A0"/>
      </w:tblPr>
      <w:tblGrid>
        <w:gridCol w:w="1881"/>
        <w:gridCol w:w="1881"/>
        <w:gridCol w:w="1881"/>
        <w:gridCol w:w="1881"/>
        <w:gridCol w:w="1881"/>
      </w:tblGrid>
      <w:tr>
        <w:trPr>
          <w:trHeight w:val="397"/>
        </w:trPr>
        <w:tc>
          <w:tcPr>
            <w:tcW w:type="dxa" w:w="1881"/>
            <w:shd w:val="clear" w:color="auto" w:fill="C0392B"/>
            <w:vAlign w:val="center"/>
          </w:tcPr>
          <w:p>
            <w:pPr>
              <w:jc w:val="center"/>
            </w:pPr>
            <w:r>
              <w:rPr>
                <w:b/>
                <w:color w:val="FFFFFF"/>
                <w:sz w:val="18"/>
              </w:rPr>
              <w:t>Línea Base</w:t>
            </w:r>
          </w:p>
        </w:tc>
        <w:tc>
          <w:tcPr>
            <w:tcW w:type="dxa" w:w="1881"/>
            <w:shd w:val="clear" w:color="auto" w:fill="1A3A5C"/>
            <w:vAlign w:val="center"/>
          </w:tcPr>
          <w:p>
            <w:pPr>
              <w:jc w:val="center"/>
            </w:pPr>
            <w:r>
              <w:rPr>
                <w:b/>
                <w:color w:val="FFFFFF"/>
                <w:sz w:val="18"/>
              </w:rPr>
              <w:t>Mes de la Medición</w:t>
            </w:r>
          </w:p>
        </w:tc>
        <w:tc>
          <w:tcPr>
            <w:tcW w:type="dxa" w:w="1881"/>
            <w:shd w:val="clear" w:color="auto" w:fill="27AE60"/>
            <w:vAlign w:val="center"/>
          </w:tcPr>
          <w:p>
            <w:pPr>
              <w:jc w:val="center"/>
            </w:pPr>
            <w:r>
              <w:rPr>
                <w:b/>
                <w:color w:val="FFFFFF"/>
                <w:sz w:val="18"/>
              </w:rPr>
              <w:t>Meta del Indicador</w:t>
            </w:r>
          </w:p>
        </w:tc>
        <w:tc>
          <w:tcPr>
            <w:tcW w:type="dxa" w:w="1881"/>
            <w:shd w:val="clear" w:color="auto" w:fill="7D3C98"/>
            <w:vAlign w:val="center"/>
          </w:tcPr>
          <w:p>
            <w:pPr>
              <w:jc w:val="center"/>
            </w:pPr>
            <w:r>
              <w:rPr>
                <w:b/>
                <w:color w:val="FFFFFF"/>
                <w:sz w:val="18"/>
              </w:rPr>
              <w:t>Variación Esperada</w:t>
            </w:r>
          </w:p>
        </w:tc>
        <w:tc>
          <w:tcPr>
            <w:tcW w:type="dxa" w:w="1881"/>
            <w:shd w:val="clear" w:color="auto" w:fill="5D6D7E"/>
            <w:vAlign w:val="center"/>
          </w:tcPr>
          <w:p>
            <w:pPr>
              <w:jc w:val="center"/>
            </w:pPr>
            <w:r>
              <w:rPr>
                <w:b/>
                <w:color w:val="FFFFFF"/>
                <w:sz w:val="18"/>
              </w:rPr>
              <w:t>Unidad de Medida</w:t>
            </w:r>
          </w:p>
        </w:tc>
      </w:tr>
      <w:tr>
        <w:trPr>
          <w:trHeight w:val="397"/>
        </w:trPr>
        <w:tc>
          <w:tcPr>
            <w:tcW w:type="dxa" w:w="1881"/>
            <w:shd w:val="clear" w:color="auto" w:fill="F7F9FC"/>
            <w:vAlign w:val="center"/>
          </w:tcPr>
          <w:p>
            <w:pPr>
              <w:jc w:val="center"/>
            </w:pPr>
            <w:r>
              <w:rPr>
                <w:b/>
                <w:color w:val="C0392B"/>
                <w:sz w:val="26"/>
              </w:rPr>
              <w:t>170,00</w:t>
            </w:r>
          </w:p>
        </w:tc>
        <w:tc>
          <w:tcPr>
            <w:tcW w:type="dxa" w:w="1881"/>
            <w:shd w:val="clear" w:color="auto" w:fill="F7F9FC"/>
            <w:vAlign w:val="center"/>
          </w:tcPr>
          <w:p>
            <w:pPr>
              <w:jc w:val="center"/>
            </w:pPr>
            <w:r>
              <w:rPr>
                <w:b/>
                <w:color w:val="1A3A5C"/>
                <w:sz w:val="26"/>
              </w:rPr>
              <w:t>Marzo de 2026</w:t>
            </w:r>
          </w:p>
        </w:tc>
        <w:tc>
          <w:tcPr>
            <w:tcW w:type="dxa" w:w="1881"/>
            <w:shd w:val="clear" w:color="auto" w:fill="F7F9FC"/>
            <w:vAlign w:val="center"/>
          </w:tcPr>
          <w:p>
            <w:pPr>
              <w:jc w:val="center"/>
            </w:pPr>
            <w:r>
              <w:rPr>
                <w:b/>
                <w:color w:val="27AE60"/>
                <w:sz w:val="26"/>
              </w:rPr>
              <w:t>145,00</w:t>
            </w:r>
          </w:p>
        </w:tc>
        <w:tc>
          <w:tcPr>
            <w:tcW w:type="dxa" w:w="1881"/>
            <w:shd w:val="clear" w:color="auto" w:fill="F7F9FC"/>
            <w:vAlign w:val="center"/>
          </w:tcPr>
          <w:p>
            <w:pPr>
              <w:jc w:val="center"/>
            </w:pPr>
            <w:r>
              <w:rPr>
                <w:b/>
                <w:color w:val="7D3C98"/>
                <w:sz w:val="26"/>
              </w:rPr>
              <w:t>-14,71 %</w:t>
            </w:r>
          </w:p>
        </w:tc>
        <w:tc>
          <w:tcPr>
            <w:tcW w:type="dxa" w:w="1881"/>
            <w:shd w:val="clear" w:color="auto" w:fill="F7F9FC"/>
            <w:vAlign w:val="center"/>
          </w:tcPr>
          <w:p>
            <w:pPr>
              <w:jc w:val="center"/>
            </w:pPr>
            <w:r>
              <w:rPr>
                <w:b/>
                <w:color w:val="5D6D7E"/>
                <w:sz w:val="26"/>
              </w:rPr>
              <w:t>Hojas de papel por mes</w:t>
            </w:r>
          </w:p>
        </w:tc>
      </w:tr>
    </w:tbl>
    <w:p>
      <w:pPr>
        <w:spacing w:before="0" w:after="120"/>
      </w:pPr>
    </w:p>
    <w:p>
      <w:pPr>
        <w:spacing w:after="80"/>
        <w:jc w:val="left"/>
        <w:pBdr>
          <w:bottom w:val="single" w:sz="6" w:space="1" w:color="1a3a5c"/>
        </w:pBdr>
      </w:pPr>
      <w:r>
        <w:rPr>
          <w:b/>
          <w:color w:val="1A3A5C"/>
          <w:sz w:val="26"/>
        </w:rPr>
        <w:t>4. Entregable de Soporte</w:t>
      </w:r>
    </w:p>
    <w:p>
      <w:pPr>
        <w:spacing w:after="40"/>
        <w:ind w:left="283"/>
      </w:pPr>
      <w:r>
        <w:rPr>
          <w:b w:val="0"/>
          <w:i/>
          <w:color w:val="154360"/>
          <w:sz w:val="20"/>
          <w:u w:val="none"/>
        </w:rPr>
        <w:t>Inventario_Papel_CNTXT_PT2_IA.xlsx</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