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8A9A3" w14:textId="77777777" w:rsidR="00AF6A85" w:rsidRPr="00A37D22" w:rsidRDefault="00AF6A85" w:rsidP="00AF6A85">
      <w:pPr>
        <w:jc w:val="both"/>
        <w:rPr>
          <w:b/>
        </w:rPr>
      </w:pPr>
      <w:r w:rsidRPr="00A37D22">
        <w:rPr>
          <w:b/>
        </w:rPr>
        <w:t>ABN Amro</w:t>
      </w:r>
      <w:r>
        <w:rPr>
          <w:b/>
        </w:rPr>
        <w:t>, 2003</w:t>
      </w:r>
    </w:p>
    <w:p w14:paraId="5AD09D11" w14:textId="77777777" w:rsidR="00AF6A85" w:rsidRDefault="00AF6A85" w:rsidP="00AF6A85">
      <w:pPr>
        <w:jc w:val="both"/>
      </w:pPr>
      <w:r w:rsidRPr="000C6224">
        <w:t xml:space="preserve">ABN AMRO Bank N.V. is a Dutch state-owned bank with headquarters in Amsterdam. It was re-established, in its current form, in 2009 following the acquisition and break-up of the original ABN AMRO by a banking consortium consisting of Royal Bank of Scotland Group, Santander Group and Fortis. </w:t>
      </w:r>
      <w:r>
        <w:t>(</w:t>
      </w:r>
      <w:r w:rsidRPr="000C6224">
        <w:t>In October 2007 the bank was acquired, in what was at that time the biggest bank takeover in history, by a consortium made up of the Royal Bank of Scotland Group, Fortis and Banco Santander, known as RFS Holdings B.V.</w:t>
      </w:r>
      <w:r>
        <w:t xml:space="preserve">). </w:t>
      </w:r>
      <w:r w:rsidRPr="000C6224">
        <w:t>Following the collapse of Fortis, the acquirer of the Dutch business, it was nationalized by the Dutch government along with Fortis Bank Nederland.</w:t>
      </w:r>
      <w:r>
        <w:t xml:space="preserve"> </w:t>
      </w:r>
    </w:p>
    <w:p w14:paraId="102680A0" w14:textId="77777777" w:rsidR="00AF6A85" w:rsidRDefault="00AF6A85" w:rsidP="00AF6A85">
      <w:pPr>
        <w:jc w:val="both"/>
      </w:pPr>
      <w:r>
        <w:t>Back in 2003 “</w:t>
      </w:r>
      <w:r w:rsidRPr="000C6224">
        <w:t>The Banker and Fortune Global 500</w:t>
      </w:r>
      <w:r>
        <w:t>”</w:t>
      </w:r>
      <w:r w:rsidRPr="000C6224">
        <w:t xml:space="preserve"> placed </w:t>
      </w:r>
      <w:r>
        <w:t>ABN AMRO</w:t>
      </w:r>
      <w:r w:rsidRPr="000C6224">
        <w:t xml:space="preserve"> 15th in the list of world’s biggest banks and it had operations in 63 countries, with over 110,000 employees.</w:t>
      </w:r>
      <w:r>
        <w:t xml:space="preserve"> It </w:t>
      </w:r>
      <w:r w:rsidRPr="000C6224">
        <w:t xml:space="preserve">was </w:t>
      </w:r>
      <w:r>
        <w:t xml:space="preserve">also </w:t>
      </w:r>
      <w:r w:rsidRPr="000C6224">
        <w:t xml:space="preserve">the second-largest bank in the Netherlands and the </w:t>
      </w:r>
      <w:proofErr w:type="gramStart"/>
      <w:r w:rsidRPr="000C6224">
        <w:t>eighth-largest</w:t>
      </w:r>
      <w:proofErr w:type="gramEnd"/>
      <w:r w:rsidRPr="000C6224">
        <w:t xml:space="preserve"> in Europe by assets.</w:t>
      </w:r>
      <w:r>
        <w:t xml:space="preserve"> ROE was 16%, with EPS of E1.85 and DPS of E0.90. A stable growth rate for the Dutch economy is 4%, the European </w:t>
      </w:r>
      <w:proofErr w:type="gramStart"/>
      <w:r>
        <w:t>risk free</w:t>
      </w:r>
      <w:proofErr w:type="gramEnd"/>
      <w:r>
        <w:t xml:space="preserve"> rate (in Euros) was 4.35% with a market risk premium of 4% (Netherlands is AAA rated). The bank </w:t>
      </w:r>
      <w:proofErr w:type="gramStart"/>
      <w:r>
        <w:t>was considered to be</w:t>
      </w:r>
      <w:proofErr w:type="gramEnd"/>
      <w:r>
        <w:t xml:space="preserve"> in a development stage, which was expected to last for 5 years. The beta of the security was slightly lower than the average firm in the market at 0.95 and was expected to change to 1, after the development period. You expect ROE to be the same with required return (cost of equity) on the stable growth stage.</w:t>
      </w:r>
    </w:p>
    <w:p w14:paraId="30213FBC" w14:textId="77777777" w:rsidR="00AF6A85" w:rsidRDefault="00AF6A85" w:rsidP="00AF6A85">
      <w:pPr>
        <w:pStyle w:val="Prrafodelista"/>
        <w:numPr>
          <w:ilvl w:val="0"/>
          <w:numId w:val="1"/>
        </w:numPr>
        <w:jc w:val="both"/>
      </w:pPr>
      <w:r>
        <w:t>What method would you use for the evaluation?</w:t>
      </w:r>
    </w:p>
    <w:p w14:paraId="0696DF53" w14:textId="77777777" w:rsidR="00AF6A85" w:rsidRDefault="00AF6A85" w:rsidP="00AF6A85">
      <w:pPr>
        <w:pStyle w:val="Prrafodelista"/>
        <w:numPr>
          <w:ilvl w:val="0"/>
          <w:numId w:val="1"/>
        </w:numPr>
        <w:jc w:val="both"/>
      </w:pPr>
      <w:r>
        <w:t>What are the inputs for the development and the stable growth stage?</w:t>
      </w:r>
    </w:p>
    <w:p w14:paraId="65022654" w14:textId="77777777" w:rsidR="00AF6A85" w:rsidRDefault="00AF6A85" w:rsidP="00AF6A85">
      <w:pPr>
        <w:pStyle w:val="Prrafodelista"/>
        <w:numPr>
          <w:ilvl w:val="0"/>
          <w:numId w:val="1"/>
        </w:numPr>
        <w:jc w:val="both"/>
      </w:pPr>
      <w:r>
        <w:t>What are the expected Cash Flows?</w:t>
      </w:r>
    </w:p>
    <w:p w14:paraId="1E8540AE" w14:textId="77777777" w:rsidR="00AF6A85" w:rsidRDefault="00AF6A85" w:rsidP="00AF6A85">
      <w:pPr>
        <w:pStyle w:val="Prrafodelista"/>
        <w:numPr>
          <w:ilvl w:val="0"/>
          <w:numId w:val="1"/>
        </w:numPr>
        <w:jc w:val="both"/>
      </w:pPr>
      <w:r>
        <w:t>What is the required return on equity?</w:t>
      </w:r>
    </w:p>
    <w:p w14:paraId="790F16B8" w14:textId="77777777" w:rsidR="00AF6A85" w:rsidRDefault="00AF6A85" w:rsidP="00AF6A85">
      <w:pPr>
        <w:pStyle w:val="Prrafodelista"/>
        <w:numPr>
          <w:ilvl w:val="0"/>
          <w:numId w:val="1"/>
        </w:numPr>
        <w:jc w:val="both"/>
      </w:pPr>
      <w:r>
        <w:t>If the market price in 2003 was E18.55, what investment strategy would you suggest? What is the premium you are willing to pay for the high and stable growth stages?</w:t>
      </w:r>
    </w:p>
    <w:p w14:paraId="52E783EF" w14:textId="77777777" w:rsidR="00AF6A85" w:rsidRDefault="00AF6A85" w:rsidP="00AF6A85">
      <w:pPr>
        <w:pStyle w:val="Prrafodelista"/>
        <w:numPr>
          <w:ilvl w:val="0"/>
          <w:numId w:val="1"/>
        </w:numPr>
        <w:jc w:val="both"/>
      </w:pPr>
      <w:r>
        <w:t>Judging retrospectively, given the nationalization of the bank in 2009, would your strategy be profitable? Would this be a sign of market efficiency or market inefficiency?</w:t>
      </w:r>
    </w:p>
    <w:p w14:paraId="1AE00E5F" w14:textId="77777777" w:rsidR="00340C28" w:rsidRDefault="00340C28"/>
    <w:p w14:paraId="3CFDF767" w14:textId="3B9A4D4D" w:rsidR="00AF6A85" w:rsidRPr="00AF6A85" w:rsidRDefault="00AF6A85">
      <w:pPr>
        <w:rPr>
          <w:b/>
          <w:bCs/>
        </w:rPr>
      </w:pPr>
      <w:r w:rsidRPr="00AF6A85">
        <w:rPr>
          <w:b/>
          <w:bCs/>
        </w:rPr>
        <w:t>Solution</w:t>
      </w:r>
    </w:p>
    <w:p w14:paraId="7316E85E" w14:textId="77777777" w:rsidR="00AF6A85" w:rsidRDefault="00AF6A85" w:rsidP="00AF6A85">
      <w:pPr>
        <w:pStyle w:val="Prrafodelista"/>
        <w:numPr>
          <w:ilvl w:val="0"/>
          <w:numId w:val="3"/>
        </w:numPr>
        <w:jc w:val="both"/>
      </w:pPr>
      <w:r>
        <w:t>What method would you use for the evaluation?</w:t>
      </w:r>
    </w:p>
    <w:p w14:paraId="50DD45D9" w14:textId="77777777" w:rsidR="00AF6A85" w:rsidRDefault="00AF6A85" w:rsidP="00AF6A85">
      <w:pPr>
        <w:jc w:val="both"/>
      </w:pPr>
      <w:r>
        <w:t xml:space="preserve">Financial institutions are reluctant to release cash flow to equity information because their business model is radically different. Inevitably, the only reliable information that we can reserve to is the distributed dividends. In addition, the high retention rate indicates a high expected growth (higher than the average stable growth rate of 4%). Consequently, a </w:t>
      </w:r>
      <w:proofErr w:type="gramStart"/>
      <w:r>
        <w:t>2 stage</w:t>
      </w:r>
      <w:proofErr w:type="gramEnd"/>
      <w:r>
        <w:t xml:space="preserve"> growth model would be more appropriate</w:t>
      </w:r>
    </w:p>
    <w:p w14:paraId="53CD7EA8" w14:textId="77777777" w:rsidR="00AF6A85" w:rsidRDefault="00AF6A85" w:rsidP="00AF6A85">
      <w:pPr>
        <w:pStyle w:val="Prrafodelista"/>
        <w:numPr>
          <w:ilvl w:val="0"/>
          <w:numId w:val="3"/>
        </w:numPr>
        <w:jc w:val="both"/>
      </w:pPr>
      <w:r>
        <w:t>What are the inputs for the development and the stable growth stage?</w:t>
      </w:r>
    </w:p>
    <w:tbl>
      <w:tblPr>
        <w:tblStyle w:val="Tablaconcuadrcula"/>
        <w:tblW w:w="0" w:type="auto"/>
        <w:tblLook w:val="04A0" w:firstRow="1" w:lastRow="0" w:firstColumn="1" w:lastColumn="0" w:noHBand="0" w:noVBand="1"/>
      </w:tblPr>
      <w:tblGrid>
        <w:gridCol w:w="3125"/>
        <w:gridCol w:w="1577"/>
        <w:gridCol w:w="2632"/>
        <w:gridCol w:w="1720"/>
      </w:tblGrid>
      <w:tr w:rsidR="00AF6A85" w14:paraId="26D17284" w14:textId="77777777" w:rsidTr="00D54296">
        <w:tc>
          <w:tcPr>
            <w:tcW w:w="4644" w:type="dxa"/>
            <w:gridSpan w:val="2"/>
            <w:vAlign w:val="center"/>
          </w:tcPr>
          <w:p w14:paraId="0D80D14B" w14:textId="77777777" w:rsidR="00AF6A85" w:rsidRDefault="00AF6A85" w:rsidP="00D54296">
            <w:pPr>
              <w:jc w:val="center"/>
            </w:pPr>
            <w:r>
              <w:lastRenderedPageBreak/>
              <w:t>Current (Development)</w:t>
            </w:r>
          </w:p>
        </w:tc>
        <w:tc>
          <w:tcPr>
            <w:tcW w:w="4644" w:type="dxa"/>
            <w:gridSpan w:val="2"/>
            <w:vAlign w:val="center"/>
          </w:tcPr>
          <w:p w14:paraId="21E9F10E" w14:textId="77777777" w:rsidR="00AF6A85" w:rsidRDefault="00AF6A85" w:rsidP="00D54296">
            <w:pPr>
              <w:jc w:val="center"/>
            </w:pPr>
            <w:r>
              <w:t>After 5 years (Stable Growth)</w:t>
            </w:r>
          </w:p>
        </w:tc>
      </w:tr>
      <w:tr w:rsidR="00AF6A85" w14:paraId="27D98709" w14:textId="77777777" w:rsidTr="00D54296">
        <w:tc>
          <w:tcPr>
            <w:tcW w:w="2322" w:type="dxa"/>
            <w:vAlign w:val="center"/>
          </w:tcPr>
          <w:p w14:paraId="4C22EFEB" w14:textId="77777777" w:rsidR="00AF6A85" w:rsidRDefault="00AF6A85" w:rsidP="00D54296">
            <w:pPr>
              <w:jc w:val="center"/>
            </w:pPr>
            <w:r>
              <w:t>ROE</w:t>
            </w:r>
          </w:p>
        </w:tc>
        <w:tc>
          <w:tcPr>
            <w:tcW w:w="2322" w:type="dxa"/>
            <w:vAlign w:val="center"/>
          </w:tcPr>
          <w:p w14:paraId="735AEC86" w14:textId="77777777" w:rsidR="00AF6A85" w:rsidRDefault="00AF6A85" w:rsidP="00D54296">
            <w:pPr>
              <w:jc w:val="center"/>
            </w:pPr>
            <w:r>
              <w:t>16%</w:t>
            </w:r>
          </w:p>
        </w:tc>
        <w:tc>
          <w:tcPr>
            <w:tcW w:w="2322" w:type="dxa"/>
            <w:vAlign w:val="center"/>
          </w:tcPr>
          <w:p w14:paraId="0230CEF0" w14:textId="77777777" w:rsidR="00AF6A85" w:rsidRDefault="00AF6A85" w:rsidP="00D54296">
            <w:pPr>
              <w:jc w:val="center"/>
            </w:pPr>
            <w:r>
              <w:t>ROE=</w:t>
            </w:r>
            <w:proofErr w:type="spellStart"/>
            <w:r>
              <w:t>k</w:t>
            </w:r>
            <w:r w:rsidRPr="005021BA">
              <w:rPr>
                <w:vertAlign w:val="subscript"/>
              </w:rPr>
              <w:t>e</w:t>
            </w:r>
            <w:proofErr w:type="spellEnd"/>
          </w:p>
        </w:tc>
        <w:tc>
          <w:tcPr>
            <w:tcW w:w="2322" w:type="dxa"/>
            <w:vAlign w:val="center"/>
          </w:tcPr>
          <w:p w14:paraId="257F8336" w14:textId="77777777" w:rsidR="00AF6A85" w:rsidRDefault="00AF6A85" w:rsidP="00D54296">
            <w:pPr>
              <w:jc w:val="center"/>
            </w:pPr>
            <w:r>
              <w:t>8.35%</w:t>
            </w:r>
          </w:p>
        </w:tc>
      </w:tr>
      <w:tr w:rsidR="00AF6A85" w14:paraId="09C68462" w14:textId="77777777" w:rsidTr="00D54296">
        <w:tc>
          <w:tcPr>
            <w:tcW w:w="2322" w:type="dxa"/>
            <w:vAlign w:val="center"/>
          </w:tcPr>
          <w:p w14:paraId="5F1E3BA2" w14:textId="77777777" w:rsidR="00AF6A85" w:rsidRDefault="00AF6A85" w:rsidP="00D54296">
            <w:pPr>
              <w:jc w:val="center"/>
            </w:pPr>
            <w:r w:rsidRPr="00FB38E8">
              <w:rPr>
                <w:position w:val="-24"/>
              </w:rPr>
              <w:object w:dxaOrig="1939" w:dyaOrig="620" w14:anchorId="3FD981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31.5pt" o:ole="">
                  <v:imagedata r:id="rId5" o:title=""/>
                </v:shape>
                <o:OLEObject Type="Embed" ProgID="Equation.3" ShapeID="_x0000_i1025" DrawAspect="Content" ObjectID="_1854576152" r:id="rId6"/>
              </w:object>
            </w:r>
          </w:p>
        </w:tc>
        <w:tc>
          <w:tcPr>
            <w:tcW w:w="2322" w:type="dxa"/>
            <w:vAlign w:val="center"/>
          </w:tcPr>
          <w:p w14:paraId="25E2AE1D" w14:textId="77777777" w:rsidR="00AF6A85" w:rsidRDefault="00AF6A85" w:rsidP="00D54296">
            <w:pPr>
              <w:jc w:val="center"/>
            </w:pPr>
            <w:r>
              <w:t>48.65%</w:t>
            </w:r>
          </w:p>
        </w:tc>
        <w:tc>
          <w:tcPr>
            <w:tcW w:w="2322" w:type="dxa"/>
            <w:vAlign w:val="center"/>
          </w:tcPr>
          <w:p w14:paraId="043E5678" w14:textId="77777777" w:rsidR="00AF6A85" w:rsidRDefault="00AF6A85" w:rsidP="00D54296">
            <w:pPr>
              <w:jc w:val="center"/>
            </w:pPr>
            <w:r w:rsidRPr="005021BA">
              <w:rPr>
                <w:position w:val="-42"/>
              </w:rPr>
              <w:object w:dxaOrig="2079" w:dyaOrig="960" w14:anchorId="16499CF6">
                <v:shape id="_x0000_i1026" type="#_x0000_t75" style="width:105pt;height:48pt" o:ole="">
                  <v:imagedata r:id="rId7" o:title=""/>
                </v:shape>
                <o:OLEObject Type="Embed" ProgID="Equation.3" ShapeID="_x0000_i1026" DrawAspect="Content" ObjectID="_1854576153" r:id="rId8"/>
              </w:object>
            </w:r>
          </w:p>
        </w:tc>
        <w:tc>
          <w:tcPr>
            <w:tcW w:w="2322" w:type="dxa"/>
            <w:vAlign w:val="center"/>
          </w:tcPr>
          <w:p w14:paraId="6687FB74" w14:textId="77777777" w:rsidR="00AF6A85" w:rsidRDefault="00AF6A85" w:rsidP="00D54296">
            <w:pPr>
              <w:jc w:val="center"/>
            </w:pPr>
            <w:r>
              <w:t>RR=47.9%</w:t>
            </w:r>
          </w:p>
        </w:tc>
      </w:tr>
      <w:tr w:rsidR="00AF6A85" w14:paraId="71A1ECA8" w14:textId="77777777" w:rsidTr="00D54296">
        <w:tc>
          <w:tcPr>
            <w:tcW w:w="2322" w:type="dxa"/>
            <w:vAlign w:val="center"/>
          </w:tcPr>
          <w:p w14:paraId="1FD16504" w14:textId="77777777" w:rsidR="00AF6A85" w:rsidRDefault="00AF6A85" w:rsidP="00D54296">
            <w:pPr>
              <w:jc w:val="center"/>
            </w:pPr>
            <w:r w:rsidRPr="005021BA">
              <w:rPr>
                <w:position w:val="-6"/>
              </w:rPr>
              <w:object w:dxaOrig="2540" w:dyaOrig="279" w14:anchorId="21174935">
                <v:shape id="_x0000_i1027" type="#_x0000_t75" style="width:127.5pt;height:13.5pt" o:ole="">
                  <v:imagedata r:id="rId9" o:title=""/>
                </v:shape>
                <o:OLEObject Type="Embed" ProgID="Equation.3" ShapeID="_x0000_i1027" DrawAspect="Content" ObjectID="_1854576154" r:id="rId10"/>
              </w:object>
            </w:r>
          </w:p>
        </w:tc>
        <w:tc>
          <w:tcPr>
            <w:tcW w:w="2322" w:type="dxa"/>
            <w:vAlign w:val="center"/>
          </w:tcPr>
          <w:p w14:paraId="3F1D13E2" w14:textId="77777777" w:rsidR="00AF6A85" w:rsidRDefault="00AF6A85" w:rsidP="00D54296">
            <w:pPr>
              <w:jc w:val="center"/>
            </w:pPr>
            <w:r>
              <w:t>51.35%</w:t>
            </w:r>
          </w:p>
        </w:tc>
        <w:tc>
          <w:tcPr>
            <w:tcW w:w="2322" w:type="dxa"/>
            <w:vAlign w:val="center"/>
          </w:tcPr>
          <w:p w14:paraId="59909F3D" w14:textId="77777777" w:rsidR="00AF6A85" w:rsidRDefault="00AF6A85" w:rsidP="00D54296">
            <w:pPr>
              <w:jc w:val="center"/>
            </w:pPr>
            <w:r w:rsidRPr="005021BA">
              <w:rPr>
                <w:position w:val="-6"/>
              </w:rPr>
              <w:object w:dxaOrig="2420" w:dyaOrig="279" w14:anchorId="156046CE">
                <v:shape id="_x0000_i1028" type="#_x0000_t75" style="width:120.75pt;height:13.5pt" o:ole="">
                  <v:imagedata r:id="rId11" o:title=""/>
                </v:shape>
                <o:OLEObject Type="Embed" ProgID="Equation.3" ShapeID="_x0000_i1028" DrawAspect="Content" ObjectID="_1854576155" r:id="rId12"/>
              </w:object>
            </w:r>
          </w:p>
        </w:tc>
        <w:tc>
          <w:tcPr>
            <w:tcW w:w="2322" w:type="dxa"/>
            <w:vAlign w:val="center"/>
          </w:tcPr>
          <w:p w14:paraId="1C39D4B5" w14:textId="77777777" w:rsidR="00AF6A85" w:rsidRDefault="00AF6A85" w:rsidP="00D54296">
            <w:pPr>
              <w:jc w:val="center"/>
            </w:pPr>
            <w:r>
              <w:t>52.1%</w:t>
            </w:r>
          </w:p>
        </w:tc>
      </w:tr>
      <w:tr w:rsidR="00AF6A85" w14:paraId="7FE193A0" w14:textId="77777777" w:rsidTr="00D54296">
        <w:tc>
          <w:tcPr>
            <w:tcW w:w="2322" w:type="dxa"/>
            <w:vAlign w:val="center"/>
          </w:tcPr>
          <w:p w14:paraId="6C00DF1E" w14:textId="77777777" w:rsidR="00AF6A85" w:rsidRDefault="00AF6A85" w:rsidP="00D54296">
            <w:pPr>
              <w:jc w:val="center"/>
            </w:pPr>
            <w:r w:rsidRPr="005021BA">
              <w:rPr>
                <w:position w:val="-10"/>
              </w:rPr>
              <w:object w:dxaOrig="2900" w:dyaOrig="320" w14:anchorId="29890A6E">
                <v:shape id="_x0000_i1029" type="#_x0000_t75" style="width:145.5pt;height:16.5pt" o:ole="">
                  <v:imagedata r:id="rId13" o:title=""/>
                </v:shape>
                <o:OLEObject Type="Embed" ProgID="Equation.3" ShapeID="_x0000_i1029" DrawAspect="Content" ObjectID="_1854576156" r:id="rId14"/>
              </w:object>
            </w:r>
          </w:p>
        </w:tc>
        <w:tc>
          <w:tcPr>
            <w:tcW w:w="2322" w:type="dxa"/>
            <w:vAlign w:val="center"/>
          </w:tcPr>
          <w:p w14:paraId="787C65ED" w14:textId="77777777" w:rsidR="00AF6A85" w:rsidRDefault="00AF6A85" w:rsidP="00D54296">
            <w:pPr>
              <w:jc w:val="center"/>
            </w:pPr>
            <w:r>
              <w:t>8.22%</w:t>
            </w:r>
          </w:p>
        </w:tc>
        <w:tc>
          <w:tcPr>
            <w:tcW w:w="2322" w:type="dxa"/>
            <w:vAlign w:val="center"/>
          </w:tcPr>
          <w:p w14:paraId="575F21D1" w14:textId="77777777" w:rsidR="00AF6A85" w:rsidRDefault="00AF6A85" w:rsidP="00D54296">
            <w:pPr>
              <w:jc w:val="center"/>
            </w:pPr>
            <w:r>
              <w:t>g</w:t>
            </w:r>
          </w:p>
        </w:tc>
        <w:tc>
          <w:tcPr>
            <w:tcW w:w="2322" w:type="dxa"/>
            <w:vAlign w:val="center"/>
          </w:tcPr>
          <w:p w14:paraId="77A13E57" w14:textId="77777777" w:rsidR="00AF6A85" w:rsidRDefault="00AF6A85" w:rsidP="00D54296">
            <w:pPr>
              <w:jc w:val="center"/>
            </w:pPr>
            <w:r>
              <w:t>4%</w:t>
            </w:r>
          </w:p>
        </w:tc>
      </w:tr>
      <w:tr w:rsidR="00AF6A85" w14:paraId="31696ED0" w14:textId="77777777" w:rsidTr="00D54296">
        <w:tc>
          <w:tcPr>
            <w:tcW w:w="2322" w:type="dxa"/>
            <w:vAlign w:val="center"/>
          </w:tcPr>
          <w:p w14:paraId="0BE9636E" w14:textId="77777777" w:rsidR="00AF6A85" w:rsidRDefault="00AF6A85" w:rsidP="00D54296">
            <w:pPr>
              <w:jc w:val="center"/>
            </w:pPr>
            <w:r>
              <w:t>beta</w:t>
            </w:r>
          </w:p>
        </w:tc>
        <w:tc>
          <w:tcPr>
            <w:tcW w:w="2322" w:type="dxa"/>
            <w:vAlign w:val="center"/>
          </w:tcPr>
          <w:p w14:paraId="139821A5" w14:textId="77777777" w:rsidR="00AF6A85" w:rsidRDefault="00AF6A85" w:rsidP="00D54296">
            <w:pPr>
              <w:jc w:val="center"/>
            </w:pPr>
            <w:r>
              <w:t>0.95</w:t>
            </w:r>
          </w:p>
        </w:tc>
        <w:tc>
          <w:tcPr>
            <w:tcW w:w="2322" w:type="dxa"/>
            <w:vAlign w:val="center"/>
          </w:tcPr>
          <w:p w14:paraId="4E4F70A3" w14:textId="77777777" w:rsidR="00AF6A85" w:rsidRDefault="00AF6A85" w:rsidP="00D54296">
            <w:pPr>
              <w:jc w:val="center"/>
            </w:pPr>
            <w:r>
              <w:t>beta</w:t>
            </w:r>
          </w:p>
        </w:tc>
        <w:tc>
          <w:tcPr>
            <w:tcW w:w="2322" w:type="dxa"/>
            <w:vAlign w:val="center"/>
          </w:tcPr>
          <w:p w14:paraId="58A0F1CF" w14:textId="77777777" w:rsidR="00AF6A85" w:rsidRDefault="00AF6A85" w:rsidP="00D54296">
            <w:pPr>
              <w:jc w:val="center"/>
            </w:pPr>
            <w:r>
              <w:t>1.00</w:t>
            </w:r>
          </w:p>
        </w:tc>
      </w:tr>
      <w:tr w:rsidR="00AF6A85" w14:paraId="76DFFDCC" w14:textId="77777777" w:rsidTr="00D54296">
        <w:tc>
          <w:tcPr>
            <w:tcW w:w="2322" w:type="dxa"/>
            <w:vAlign w:val="center"/>
          </w:tcPr>
          <w:p w14:paraId="34CCE885" w14:textId="77777777" w:rsidR="00AF6A85" w:rsidRDefault="00AF6A85" w:rsidP="00D54296">
            <w:pPr>
              <w:jc w:val="center"/>
            </w:pPr>
            <w:r w:rsidRPr="005021BA">
              <w:rPr>
                <w:position w:val="-12"/>
              </w:rPr>
              <w:object w:dxaOrig="2560" w:dyaOrig="360" w14:anchorId="0961DD47">
                <v:shape id="_x0000_i1030" type="#_x0000_t75" style="width:127.5pt;height:18.75pt" o:ole="">
                  <v:imagedata r:id="rId15" o:title=""/>
                </v:shape>
                <o:OLEObject Type="Embed" ProgID="Equation.3" ShapeID="_x0000_i1030" DrawAspect="Content" ObjectID="_1854576157" r:id="rId16"/>
              </w:object>
            </w:r>
          </w:p>
        </w:tc>
        <w:tc>
          <w:tcPr>
            <w:tcW w:w="2322" w:type="dxa"/>
            <w:vAlign w:val="center"/>
          </w:tcPr>
          <w:p w14:paraId="340110AE" w14:textId="77777777" w:rsidR="00AF6A85" w:rsidRDefault="00AF6A85" w:rsidP="00D54296">
            <w:pPr>
              <w:jc w:val="center"/>
            </w:pPr>
            <w:r>
              <w:t>8.15%</w:t>
            </w:r>
          </w:p>
        </w:tc>
        <w:tc>
          <w:tcPr>
            <w:tcW w:w="2322" w:type="dxa"/>
            <w:vAlign w:val="center"/>
          </w:tcPr>
          <w:p w14:paraId="27E9BF4D" w14:textId="77777777" w:rsidR="00AF6A85" w:rsidRDefault="00AF6A85" w:rsidP="00D54296">
            <w:pPr>
              <w:jc w:val="center"/>
            </w:pPr>
            <w:r w:rsidRPr="005021BA">
              <w:rPr>
                <w:position w:val="-12"/>
              </w:rPr>
              <w:object w:dxaOrig="2260" w:dyaOrig="360" w14:anchorId="0A72B2EE">
                <v:shape id="_x0000_i1031" type="#_x0000_t75" style="width:112.5pt;height:18.75pt" o:ole="">
                  <v:imagedata r:id="rId17" o:title=""/>
                </v:shape>
                <o:OLEObject Type="Embed" ProgID="Equation.3" ShapeID="_x0000_i1031" DrawAspect="Content" ObjectID="_1854576158" r:id="rId18"/>
              </w:object>
            </w:r>
          </w:p>
        </w:tc>
        <w:tc>
          <w:tcPr>
            <w:tcW w:w="2322" w:type="dxa"/>
            <w:vAlign w:val="center"/>
          </w:tcPr>
          <w:p w14:paraId="4D5CA984" w14:textId="77777777" w:rsidR="00AF6A85" w:rsidRDefault="00AF6A85" w:rsidP="00D54296">
            <w:pPr>
              <w:jc w:val="center"/>
            </w:pPr>
            <w:r>
              <w:t>8.35%</w:t>
            </w:r>
          </w:p>
        </w:tc>
      </w:tr>
    </w:tbl>
    <w:p w14:paraId="0A187AF1" w14:textId="77777777" w:rsidR="00AF6A85" w:rsidRDefault="00AF6A85" w:rsidP="00AF6A85">
      <w:pPr>
        <w:pStyle w:val="Prrafodelista"/>
        <w:jc w:val="both"/>
      </w:pPr>
    </w:p>
    <w:p w14:paraId="68311E87" w14:textId="77777777" w:rsidR="00AF6A85" w:rsidRDefault="00AF6A85" w:rsidP="00AF6A85">
      <w:pPr>
        <w:pStyle w:val="Prrafodelista"/>
        <w:numPr>
          <w:ilvl w:val="0"/>
          <w:numId w:val="3"/>
        </w:numPr>
        <w:jc w:val="both"/>
      </w:pPr>
      <w:r>
        <w:t>What are the expected Cash Flows?</w:t>
      </w:r>
    </w:p>
    <w:tbl>
      <w:tblPr>
        <w:tblStyle w:val="Tablaconcuadrcula"/>
        <w:tblW w:w="9686" w:type="dxa"/>
        <w:tblLook w:val="04A0" w:firstRow="1" w:lastRow="0" w:firstColumn="1" w:lastColumn="0" w:noHBand="0" w:noVBand="1"/>
      </w:tblPr>
      <w:tblGrid>
        <w:gridCol w:w="3326"/>
        <w:gridCol w:w="2930"/>
        <w:gridCol w:w="2160"/>
        <w:gridCol w:w="1270"/>
      </w:tblGrid>
      <w:tr w:rsidR="00AF6A85" w14:paraId="065CD81A" w14:textId="77777777" w:rsidTr="00D54296">
        <w:trPr>
          <w:trHeight w:val="215"/>
        </w:trPr>
        <w:tc>
          <w:tcPr>
            <w:tcW w:w="3326" w:type="dxa"/>
            <w:vAlign w:val="center"/>
          </w:tcPr>
          <w:p w14:paraId="3F6D1CFA" w14:textId="77777777" w:rsidR="00AF6A85" w:rsidRDefault="00AF6A85" w:rsidP="00D54296">
            <w:pPr>
              <w:jc w:val="center"/>
            </w:pPr>
            <w:r>
              <w:t>Year</w:t>
            </w:r>
          </w:p>
        </w:tc>
        <w:tc>
          <w:tcPr>
            <w:tcW w:w="2930" w:type="dxa"/>
            <w:vAlign w:val="center"/>
          </w:tcPr>
          <w:p w14:paraId="57FD66EE" w14:textId="77777777" w:rsidR="00AF6A85" w:rsidRDefault="00AF6A85" w:rsidP="00D54296">
            <w:pPr>
              <w:jc w:val="center"/>
            </w:pPr>
            <w:r>
              <w:t>EPS</w:t>
            </w:r>
          </w:p>
        </w:tc>
        <w:tc>
          <w:tcPr>
            <w:tcW w:w="2160" w:type="dxa"/>
          </w:tcPr>
          <w:p w14:paraId="2F629692" w14:textId="77777777" w:rsidR="00AF6A85" w:rsidRDefault="00AF6A85" w:rsidP="00D54296">
            <w:pPr>
              <w:jc w:val="center"/>
            </w:pPr>
            <w:r>
              <w:t>PBR</w:t>
            </w:r>
          </w:p>
        </w:tc>
        <w:tc>
          <w:tcPr>
            <w:tcW w:w="1270" w:type="dxa"/>
            <w:vAlign w:val="center"/>
          </w:tcPr>
          <w:p w14:paraId="74373E45" w14:textId="77777777" w:rsidR="00AF6A85" w:rsidRDefault="00AF6A85" w:rsidP="00D54296">
            <w:pPr>
              <w:jc w:val="center"/>
            </w:pPr>
            <w:r>
              <w:t>DPS</w:t>
            </w:r>
          </w:p>
        </w:tc>
      </w:tr>
      <w:tr w:rsidR="00AF6A85" w14:paraId="676B2013" w14:textId="77777777" w:rsidTr="00D54296">
        <w:trPr>
          <w:trHeight w:val="206"/>
        </w:trPr>
        <w:tc>
          <w:tcPr>
            <w:tcW w:w="3326" w:type="dxa"/>
            <w:vAlign w:val="center"/>
          </w:tcPr>
          <w:p w14:paraId="32DB1AD0" w14:textId="77777777" w:rsidR="00AF6A85" w:rsidRDefault="00AF6A85" w:rsidP="00D54296">
            <w:pPr>
              <w:jc w:val="center"/>
            </w:pPr>
            <w:r>
              <w:t>0</w:t>
            </w:r>
          </w:p>
        </w:tc>
        <w:tc>
          <w:tcPr>
            <w:tcW w:w="2930" w:type="dxa"/>
            <w:vAlign w:val="center"/>
          </w:tcPr>
          <w:p w14:paraId="1AA06E56" w14:textId="77777777" w:rsidR="00AF6A85" w:rsidRDefault="00AF6A85" w:rsidP="00D54296">
            <w:pPr>
              <w:jc w:val="center"/>
            </w:pPr>
            <w:r>
              <w:t>1.85</w:t>
            </w:r>
          </w:p>
        </w:tc>
        <w:tc>
          <w:tcPr>
            <w:tcW w:w="2160" w:type="dxa"/>
          </w:tcPr>
          <w:p w14:paraId="17B5ABBE" w14:textId="77777777" w:rsidR="00AF6A85" w:rsidRDefault="00AF6A85" w:rsidP="00D54296">
            <w:pPr>
              <w:jc w:val="center"/>
            </w:pPr>
            <w:r>
              <w:t>0.4865</w:t>
            </w:r>
          </w:p>
        </w:tc>
        <w:tc>
          <w:tcPr>
            <w:tcW w:w="1270" w:type="dxa"/>
            <w:vAlign w:val="center"/>
          </w:tcPr>
          <w:p w14:paraId="2F8A4AFA" w14:textId="77777777" w:rsidR="00AF6A85" w:rsidRDefault="00AF6A85" w:rsidP="00D54296">
            <w:pPr>
              <w:jc w:val="center"/>
            </w:pPr>
            <w:r>
              <w:t>0.9</w:t>
            </w:r>
          </w:p>
        </w:tc>
      </w:tr>
      <w:tr w:rsidR="00AF6A85" w14:paraId="099B26AB" w14:textId="77777777" w:rsidTr="00D54296">
        <w:trPr>
          <w:trHeight w:val="206"/>
        </w:trPr>
        <w:tc>
          <w:tcPr>
            <w:tcW w:w="3326" w:type="dxa"/>
            <w:vAlign w:val="center"/>
          </w:tcPr>
          <w:p w14:paraId="13BA6F24" w14:textId="77777777" w:rsidR="00AF6A85" w:rsidRDefault="00AF6A85" w:rsidP="00D54296">
            <w:pPr>
              <w:jc w:val="center"/>
            </w:pPr>
            <w:r>
              <w:t>1</w:t>
            </w:r>
          </w:p>
        </w:tc>
        <w:tc>
          <w:tcPr>
            <w:tcW w:w="2930" w:type="dxa"/>
            <w:vAlign w:val="center"/>
          </w:tcPr>
          <w:p w14:paraId="724683AE" w14:textId="77777777" w:rsidR="00AF6A85" w:rsidRDefault="00AF6A85" w:rsidP="00D54296">
            <w:pPr>
              <w:jc w:val="center"/>
            </w:pPr>
            <w:r>
              <w:t>2.00</w:t>
            </w:r>
          </w:p>
        </w:tc>
        <w:tc>
          <w:tcPr>
            <w:tcW w:w="2160" w:type="dxa"/>
          </w:tcPr>
          <w:p w14:paraId="16368E9E" w14:textId="77777777" w:rsidR="00AF6A85" w:rsidRDefault="00AF6A85" w:rsidP="00D54296">
            <w:pPr>
              <w:jc w:val="center"/>
            </w:pPr>
            <w:r>
              <w:t>0.4865</w:t>
            </w:r>
          </w:p>
        </w:tc>
        <w:tc>
          <w:tcPr>
            <w:tcW w:w="1270" w:type="dxa"/>
            <w:vAlign w:val="center"/>
          </w:tcPr>
          <w:p w14:paraId="460A0629" w14:textId="77777777" w:rsidR="00AF6A85" w:rsidRDefault="00AF6A85" w:rsidP="00D54296">
            <w:pPr>
              <w:jc w:val="center"/>
            </w:pPr>
            <w:r>
              <w:t>0.97</w:t>
            </w:r>
          </w:p>
        </w:tc>
      </w:tr>
      <w:tr w:rsidR="00AF6A85" w14:paraId="724B43A1" w14:textId="77777777" w:rsidTr="00D54296">
        <w:trPr>
          <w:trHeight w:val="206"/>
        </w:trPr>
        <w:tc>
          <w:tcPr>
            <w:tcW w:w="3326" w:type="dxa"/>
            <w:vAlign w:val="center"/>
          </w:tcPr>
          <w:p w14:paraId="20272472" w14:textId="77777777" w:rsidR="00AF6A85" w:rsidRDefault="00AF6A85" w:rsidP="00D54296">
            <w:pPr>
              <w:jc w:val="center"/>
            </w:pPr>
            <w:r>
              <w:t>2</w:t>
            </w:r>
          </w:p>
        </w:tc>
        <w:tc>
          <w:tcPr>
            <w:tcW w:w="2930" w:type="dxa"/>
            <w:vAlign w:val="center"/>
          </w:tcPr>
          <w:p w14:paraId="18ADF758" w14:textId="77777777" w:rsidR="00AF6A85" w:rsidRDefault="00AF6A85" w:rsidP="00D54296">
            <w:pPr>
              <w:jc w:val="center"/>
            </w:pPr>
            <w:r>
              <w:t>2.17</w:t>
            </w:r>
          </w:p>
        </w:tc>
        <w:tc>
          <w:tcPr>
            <w:tcW w:w="2160" w:type="dxa"/>
          </w:tcPr>
          <w:p w14:paraId="64F69AD9" w14:textId="77777777" w:rsidR="00AF6A85" w:rsidRDefault="00AF6A85" w:rsidP="00D54296">
            <w:pPr>
              <w:jc w:val="center"/>
            </w:pPr>
            <w:r>
              <w:t>0.4865</w:t>
            </w:r>
          </w:p>
        </w:tc>
        <w:tc>
          <w:tcPr>
            <w:tcW w:w="1270" w:type="dxa"/>
            <w:vAlign w:val="center"/>
          </w:tcPr>
          <w:p w14:paraId="639F534B" w14:textId="77777777" w:rsidR="00AF6A85" w:rsidRDefault="00AF6A85" w:rsidP="00D54296">
            <w:pPr>
              <w:jc w:val="center"/>
            </w:pPr>
            <w:r>
              <w:t>1.05</w:t>
            </w:r>
          </w:p>
        </w:tc>
      </w:tr>
      <w:tr w:rsidR="00AF6A85" w14:paraId="251FEE74" w14:textId="77777777" w:rsidTr="00D54296">
        <w:trPr>
          <w:trHeight w:val="215"/>
        </w:trPr>
        <w:tc>
          <w:tcPr>
            <w:tcW w:w="3326" w:type="dxa"/>
            <w:vAlign w:val="center"/>
          </w:tcPr>
          <w:p w14:paraId="4C6E5A18" w14:textId="77777777" w:rsidR="00AF6A85" w:rsidRDefault="00AF6A85" w:rsidP="00D54296">
            <w:pPr>
              <w:jc w:val="center"/>
            </w:pPr>
            <w:r>
              <w:t>3</w:t>
            </w:r>
          </w:p>
        </w:tc>
        <w:tc>
          <w:tcPr>
            <w:tcW w:w="2930" w:type="dxa"/>
            <w:vAlign w:val="center"/>
          </w:tcPr>
          <w:p w14:paraId="4083260E" w14:textId="77777777" w:rsidR="00AF6A85" w:rsidRDefault="00AF6A85" w:rsidP="00D54296">
            <w:pPr>
              <w:jc w:val="center"/>
            </w:pPr>
            <w:r>
              <w:t>2.34</w:t>
            </w:r>
          </w:p>
        </w:tc>
        <w:tc>
          <w:tcPr>
            <w:tcW w:w="2160" w:type="dxa"/>
          </w:tcPr>
          <w:p w14:paraId="0257D10A" w14:textId="77777777" w:rsidR="00AF6A85" w:rsidRDefault="00AF6A85" w:rsidP="00D54296">
            <w:pPr>
              <w:jc w:val="center"/>
            </w:pPr>
            <w:r>
              <w:t>0.4865</w:t>
            </w:r>
          </w:p>
        </w:tc>
        <w:tc>
          <w:tcPr>
            <w:tcW w:w="1270" w:type="dxa"/>
            <w:vAlign w:val="center"/>
          </w:tcPr>
          <w:p w14:paraId="7DFB19F6" w14:textId="77777777" w:rsidR="00AF6A85" w:rsidRDefault="00AF6A85" w:rsidP="00D54296">
            <w:pPr>
              <w:jc w:val="center"/>
            </w:pPr>
            <w:r>
              <w:t>1.14</w:t>
            </w:r>
          </w:p>
        </w:tc>
      </w:tr>
      <w:tr w:rsidR="00AF6A85" w14:paraId="0ED97BF8" w14:textId="77777777" w:rsidTr="00D54296">
        <w:trPr>
          <w:trHeight w:val="206"/>
        </w:trPr>
        <w:tc>
          <w:tcPr>
            <w:tcW w:w="3326" w:type="dxa"/>
            <w:vAlign w:val="center"/>
          </w:tcPr>
          <w:p w14:paraId="550B9AE7" w14:textId="77777777" w:rsidR="00AF6A85" w:rsidRDefault="00AF6A85" w:rsidP="00D54296">
            <w:pPr>
              <w:jc w:val="center"/>
            </w:pPr>
            <w:r>
              <w:t>4</w:t>
            </w:r>
          </w:p>
        </w:tc>
        <w:tc>
          <w:tcPr>
            <w:tcW w:w="2930" w:type="dxa"/>
            <w:vAlign w:val="center"/>
          </w:tcPr>
          <w:p w14:paraId="394263B0" w14:textId="77777777" w:rsidR="00AF6A85" w:rsidRDefault="00AF6A85" w:rsidP="00D54296">
            <w:pPr>
              <w:jc w:val="center"/>
            </w:pPr>
            <w:r>
              <w:t>2.54</w:t>
            </w:r>
          </w:p>
        </w:tc>
        <w:tc>
          <w:tcPr>
            <w:tcW w:w="2160" w:type="dxa"/>
          </w:tcPr>
          <w:p w14:paraId="42F733A0" w14:textId="77777777" w:rsidR="00AF6A85" w:rsidRDefault="00AF6A85" w:rsidP="00D54296">
            <w:pPr>
              <w:jc w:val="center"/>
            </w:pPr>
            <w:r>
              <w:t>0.4865</w:t>
            </w:r>
          </w:p>
        </w:tc>
        <w:tc>
          <w:tcPr>
            <w:tcW w:w="1270" w:type="dxa"/>
            <w:vAlign w:val="center"/>
          </w:tcPr>
          <w:p w14:paraId="20844F0D" w14:textId="77777777" w:rsidR="00AF6A85" w:rsidRDefault="00AF6A85" w:rsidP="00D54296">
            <w:pPr>
              <w:jc w:val="center"/>
            </w:pPr>
            <w:r>
              <w:t>1.23</w:t>
            </w:r>
          </w:p>
        </w:tc>
      </w:tr>
      <w:tr w:rsidR="00AF6A85" w14:paraId="071841D0" w14:textId="77777777" w:rsidTr="00D54296">
        <w:trPr>
          <w:trHeight w:val="206"/>
        </w:trPr>
        <w:tc>
          <w:tcPr>
            <w:tcW w:w="3326" w:type="dxa"/>
            <w:vAlign w:val="center"/>
          </w:tcPr>
          <w:p w14:paraId="48758F31" w14:textId="77777777" w:rsidR="00AF6A85" w:rsidRDefault="00AF6A85" w:rsidP="00D54296">
            <w:pPr>
              <w:jc w:val="center"/>
            </w:pPr>
            <w:r>
              <w:t>5</w:t>
            </w:r>
          </w:p>
        </w:tc>
        <w:tc>
          <w:tcPr>
            <w:tcW w:w="2930" w:type="dxa"/>
            <w:vAlign w:val="center"/>
          </w:tcPr>
          <w:p w14:paraId="61032A2F" w14:textId="77777777" w:rsidR="00AF6A85" w:rsidRDefault="00AF6A85" w:rsidP="00D54296">
            <w:pPr>
              <w:jc w:val="center"/>
            </w:pPr>
            <w:r>
              <w:t>2.75</w:t>
            </w:r>
          </w:p>
        </w:tc>
        <w:tc>
          <w:tcPr>
            <w:tcW w:w="2160" w:type="dxa"/>
          </w:tcPr>
          <w:p w14:paraId="51762FAE" w14:textId="77777777" w:rsidR="00AF6A85" w:rsidRDefault="00AF6A85" w:rsidP="00D54296">
            <w:pPr>
              <w:jc w:val="center"/>
            </w:pPr>
            <w:r>
              <w:t>0.4865</w:t>
            </w:r>
          </w:p>
        </w:tc>
        <w:tc>
          <w:tcPr>
            <w:tcW w:w="1270" w:type="dxa"/>
            <w:vAlign w:val="center"/>
          </w:tcPr>
          <w:p w14:paraId="3E10018D" w14:textId="77777777" w:rsidR="00AF6A85" w:rsidRDefault="00AF6A85" w:rsidP="00D54296">
            <w:pPr>
              <w:jc w:val="center"/>
            </w:pPr>
            <w:r>
              <w:t>1.34</w:t>
            </w:r>
          </w:p>
        </w:tc>
      </w:tr>
      <w:tr w:rsidR="00AF6A85" w14:paraId="3BD07C7A" w14:textId="77777777" w:rsidTr="00D54296">
        <w:trPr>
          <w:trHeight w:val="215"/>
        </w:trPr>
        <w:tc>
          <w:tcPr>
            <w:tcW w:w="3326" w:type="dxa"/>
            <w:vAlign w:val="center"/>
          </w:tcPr>
          <w:p w14:paraId="48A175E5" w14:textId="77777777" w:rsidR="00AF6A85" w:rsidRDefault="00AF6A85" w:rsidP="00D54296">
            <w:pPr>
              <w:jc w:val="center"/>
            </w:pPr>
            <w:r>
              <w:t>Terminal Value (5y)</w:t>
            </w:r>
          </w:p>
        </w:tc>
        <w:tc>
          <w:tcPr>
            <w:tcW w:w="2930" w:type="dxa"/>
            <w:vAlign w:val="center"/>
          </w:tcPr>
          <w:p w14:paraId="7534A7E8" w14:textId="77777777" w:rsidR="00AF6A85" w:rsidRDefault="00AF6A85" w:rsidP="00D54296">
            <w:pPr>
              <w:jc w:val="center"/>
            </w:pPr>
            <w:r>
              <w:t>2.86 (growing at 4%)</w:t>
            </w:r>
          </w:p>
        </w:tc>
        <w:tc>
          <w:tcPr>
            <w:tcW w:w="2160" w:type="dxa"/>
          </w:tcPr>
          <w:p w14:paraId="001A67B2" w14:textId="77777777" w:rsidR="00AF6A85" w:rsidRDefault="00AF6A85" w:rsidP="00D54296">
            <w:pPr>
              <w:jc w:val="center"/>
            </w:pPr>
            <w:r>
              <w:t>0.521</w:t>
            </w:r>
          </w:p>
        </w:tc>
        <w:tc>
          <w:tcPr>
            <w:tcW w:w="1270" w:type="dxa"/>
            <w:vAlign w:val="center"/>
          </w:tcPr>
          <w:p w14:paraId="1008C73F" w14:textId="77777777" w:rsidR="00AF6A85" w:rsidRDefault="00AF6A85" w:rsidP="00D54296">
            <w:pPr>
              <w:jc w:val="center"/>
            </w:pPr>
            <w:r>
              <w:t>1.49</w:t>
            </w:r>
          </w:p>
        </w:tc>
      </w:tr>
    </w:tbl>
    <w:p w14:paraId="48442C31" w14:textId="77777777" w:rsidR="00AF6A85" w:rsidRDefault="00AF6A85" w:rsidP="00AF6A85">
      <w:pPr>
        <w:pStyle w:val="Prrafodelista"/>
        <w:numPr>
          <w:ilvl w:val="0"/>
          <w:numId w:val="3"/>
        </w:numPr>
        <w:jc w:val="both"/>
      </w:pPr>
      <w:r>
        <w:t>What is the required return on equity?</w:t>
      </w:r>
    </w:p>
    <w:p w14:paraId="7A6037FA" w14:textId="77777777" w:rsidR="00AF6A85" w:rsidRDefault="00AF6A85" w:rsidP="00AF6A85">
      <w:pPr>
        <w:jc w:val="both"/>
      </w:pPr>
      <w:r>
        <w:t xml:space="preserve">Please refer to table in a. </w:t>
      </w:r>
    </w:p>
    <w:p w14:paraId="58506C67" w14:textId="77777777" w:rsidR="00AF6A85" w:rsidRDefault="00AF6A85" w:rsidP="00AF6A85">
      <w:pPr>
        <w:pStyle w:val="Prrafodelista"/>
        <w:numPr>
          <w:ilvl w:val="0"/>
          <w:numId w:val="3"/>
        </w:numPr>
        <w:jc w:val="both"/>
      </w:pPr>
      <w:r>
        <w:t>If the market price in 2003 was E18.55, what investment strategy would you suggest? What is the premium you are willing to pay for the high and stable growth stages?</w:t>
      </w:r>
    </w:p>
    <w:p w14:paraId="205B8B8E" w14:textId="77777777" w:rsidR="00AF6A85" w:rsidRDefault="00AF6A85" w:rsidP="00AF6A85">
      <w:pPr>
        <w:jc w:val="both"/>
        <w:rPr>
          <w:position w:val="-58"/>
        </w:rPr>
      </w:pPr>
      <w:r w:rsidRPr="00DC147A">
        <w:rPr>
          <w:position w:val="-78"/>
        </w:rPr>
        <w:object w:dxaOrig="7760" w:dyaOrig="1680" w14:anchorId="6D470889">
          <v:shape id="_x0000_i1032" type="#_x0000_t75" style="width:384pt;height:81.75pt" o:ole="">
            <v:imagedata r:id="rId19" o:title=""/>
          </v:shape>
          <o:OLEObject Type="Embed" ProgID="Equation.3" ShapeID="_x0000_i1032" DrawAspect="Content" ObjectID="_1854576159" r:id="rId20"/>
        </w:object>
      </w:r>
    </w:p>
    <w:p w14:paraId="73057BC8" w14:textId="77777777" w:rsidR="00AF6A85" w:rsidRDefault="00AF6A85" w:rsidP="00AF6A85">
      <w:pPr>
        <w:jc w:val="both"/>
        <w:rPr>
          <w:position w:val="-58"/>
        </w:rPr>
      </w:pPr>
      <w:r>
        <w:rPr>
          <w:noProof/>
        </w:rPr>
        <w:lastRenderedPageBreak/>
        <w:object w:dxaOrig="11158" w:dyaOrig="4598" w14:anchorId="53BAC9B8">
          <v:shape id="Object 1" o:spid="_x0000_s1026" type="#_x0000_t75" style="position:absolute;left:0;text-align:left;margin-left:-1.05pt;margin-top:13.15pt;width:477pt;height:196pt;z-index:251659264;visibility:visible">
            <v:imagedata r:id="rId21" o:title=""/>
          </v:shape>
          <o:OLEObject Type="Embed" ProgID="Equation.3" ShapeID="Object 1" DrawAspect="Content" ObjectID="_1854576160" r:id="rId22"/>
        </w:object>
      </w:r>
    </w:p>
    <w:p w14:paraId="346AA683" w14:textId="77777777" w:rsidR="00AF6A85" w:rsidRDefault="00AF6A85" w:rsidP="00AF6A85">
      <w:pPr>
        <w:jc w:val="both"/>
        <w:rPr>
          <w:position w:val="-58"/>
        </w:rPr>
      </w:pPr>
    </w:p>
    <w:p w14:paraId="7A82B6FE" w14:textId="77777777" w:rsidR="00AF6A85" w:rsidRDefault="00AF6A85" w:rsidP="00AF6A85">
      <w:pPr>
        <w:jc w:val="both"/>
        <w:rPr>
          <w:position w:val="-58"/>
        </w:rPr>
      </w:pPr>
    </w:p>
    <w:p w14:paraId="03B33273" w14:textId="77777777" w:rsidR="00AF6A85" w:rsidRDefault="00AF6A85" w:rsidP="00AF6A85">
      <w:pPr>
        <w:jc w:val="both"/>
      </w:pPr>
    </w:p>
    <w:p w14:paraId="0CA32924" w14:textId="77777777" w:rsidR="00AF6A85" w:rsidRDefault="00AF6A85" w:rsidP="00AF6A85">
      <w:pPr>
        <w:jc w:val="both"/>
      </w:pPr>
    </w:p>
    <w:p w14:paraId="6A6E08DE" w14:textId="77777777" w:rsidR="00AF6A85" w:rsidRDefault="00AF6A85" w:rsidP="00AF6A85">
      <w:pPr>
        <w:jc w:val="both"/>
      </w:pPr>
    </w:p>
    <w:p w14:paraId="1A570EBB" w14:textId="77777777" w:rsidR="00AF6A85" w:rsidRDefault="00AF6A85" w:rsidP="00AF6A85">
      <w:pPr>
        <w:jc w:val="both"/>
      </w:pPr>
    </w:p>
    <w:p w14:paraId="18DCECDC" w14:textId="77777777" w:rsidR="00AF6A85" w:rsidRDefault="00AF6A85" w:rsidP="00AF6A85">
      <w:pPr>
        <w:pStyle w:val="Prrafodelista"/>
        <w:numPr>
          <w:ilvl w:val="0"/>
          <w:numId w:val="3"/>
        </w:numPr>
        <w:jc w:val="both"/>
      </w:pPr>
      <w:r>
        <w:t>Judging retrospectively, given the nationalization of the bank in 2009, would your strategy be profitable? Would this be a sign of market efficiency or market inefficiency?</w:t>
      </w:r>
    </w:p>
    <w:p w14:paraId="6E776DFD" w14:textId="77777777" w:rsidR="00AF6A85" w:rsidRDefault="00AF6A85" w:rsidP="00AF6A85">
      <w:pPr>
        <w:jc w:val="both"/>
      </w:pPr>
      <w:r>
        <w:t>The difference is massive. According to your finding, the stock is cheap in the market, so you should buy. However, judging retrospectively, this strategy would result in a loss. ABN Amro was taken over by RBS group, which collapsed shortly after. Significant part of ABN Amro was liquidated or sold on a sub-premium. The remaining part was nationalized by the Dutch government.</w:t>
      </w:r>
    </w:p>
    <w:p w14:paraId="76C37A58" w14:textId="77777777" w:rsidR="00AF6A85" w:rsidRDefault="00AF6A85" w:rsidP="00AF6A85">
      <w:pPr>
        <w:jc w:val="both"/>
      </w:pPr>
      <w:r>
        <w:t xml:space="preserve">The vast difference between our estimation seems to be a sign of market efficiency. Market seems to evaluate the asset more accurately than we do. Potential sources of mispricing are: </w:t>
      </w:r>
    </w:p>
    <w:p w14:paraId="4439707D" w14:textId="77777777" w:rsidR="00AF6A85" w:rsidRDefault="00AF6A85" w:rsidP="00AF6A85">
      <w:pPr>
        <w:pStyle w:val="Prrafodelista"/>
        <w:numPr>
          <w:ilvl w:val="0"/>
          <w:numId w:val="2"/>
        </w:numPr>
        <w:jc w:val="both"/>
      </w:pPr>
      <w:r>
        <w:t xml:space="preserve">first, ROE, which is 16% in the high growth stage, and equal to market return (remember the impact of ROE on growth rate and value), and/or, </w:t>
      </w:r>
    </w:p>
    <w:p w14:paraId="6A9D4240" w14:textId="77777777" w:rsidR="00AF6A85" w:rsidRDefault="00AF6A85" w:rsidP="00AF6A85">
      <w:pPr>
        <w:pStyle w:val="Prrafodelista"/>
        <w:numPr>
          <w:ilvl w:val="0"/>
          <w:numId w:val="2"/>
        </w:numPr>
        <w:jc w:val="both"/>
      </w:pPr>
      <w:r>
        <w:t xml:space="preserve">second, a high expectation of growth in either the development stage (8.22%) or the stable stage (4%). Here, please </w:t>
      </w:r>
      <w:proofErr w:type="gramStart"/>
      <w:r>
        <w:t>note</w:t>
      </w:r>
      <w:proofErr w:type="gramEnd"/>
      <w:r>
        <w:t xml:space="preserve"> also the link between ROE, growth and PBR!!!</w:t>
      </w:r>
    </w:p>
    <w:p w14:paraId="2E037F19" w14:textId="77777777" w:rsidR="00AF6A85" w:rsidRDefault="00AF6A85" w:rsidP="00AF6A85">
      <w:pPr>
        <w:jc w:val="both"/>
      </w:pPr>
      <w:r>
        <w:t>Judging from the premiums we are willing to pay for high and stable growth, as well as for assets in place, it seems that the main difference comes from the stable growth rate and the required return during the stable growth (which equals ROE and thus, it affects the expected growth).</w:t>
      </w:r>
    </w:p>
    <w:p w14:paraId="3CCA7CF3" w14:textId="77777777" w:rsidR="00AF6A85" w:rsidRDefault="00AF6A85"/>
    <w:sectPr w:rsidR="00AF6A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B57BD"/>
    <w:multiLevelType w:val="hybridMultilevel"/>
    <w:tmpl w:val="668ECEF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1533CDC"/>
    <w:multiLevelType w:val="hybridMultilevel"/>
    <w:tmpl w:val="FB548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53824F3"/>
    <w:multiLevelType w:val="hybridMultilevel"/>
    <w:tmpl w:val="7F16D754"/>
    <w:lvl w:ilvl="0" w:tplc="BA723200">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61951713">
    <w:abstractNumId w:val="0"/>
  </w:num>
  <w:num w:numId="2" w16cid:durableId="1514340662">
    <w:abstractNumId w:val="1"/>
  </w:num>
  <w:num w:numId="3" w16cid:durableId="1212570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36A95"/>
    <w:rsid w:val="00261F71"/>
    <w:rsid w:val="00340C28"/>
    <w:rsid w:val="00421DEB"/>
    <w:rsid w:val="007A6BCE"/>
    <w:rsid w:val="00936A95"/>
    <w:rsid w:val="009E693C"/>
    <w:rsid w:val="00AF6A85"/>
    <w:rsid w:val="00B15C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D0C7125"/>
  <w15:chartTrackingRefBased/>
  <w15:docId w15:val="{218365EF-489D-4405-B26B-AAB5663C7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A85"/>
    <w:pPr>
      <w:spacing w:after="200" w:line="276" w:lineRule="auto"/>
    </w:pPr>
    <w:rPr>
      <w:rFonts w:eastAsiaTheme="minorEastAsia"/>
      <w:kern w:val="0"/>
      <w:lang w:val="en-GB" w:eastAsia="en-GB"/>
    </w:rPr>
  </w:style>
  <w:style w:type="paragraph" w:styleId="Ttulo1">
    <w:name w:val="heading 1"/>
    <w:basedOn w:val="Normal"/>
    <w:next w:val="Normal"/>
    <w:link w:val="Ttulo1Car"/>
    <w:uiPriority w:val="9"/>
    <w:qFormat/>
    <w:rsid w:val="00936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6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36A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6A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6A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6A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6A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6A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6A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6A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36A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36A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6A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6A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6A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6A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6A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6A95"/>
    <w:rPr>
      <w:rFonts w:eastAsiaTheme="majorEastAsia" w:cstheme="majorBidi"/>
      <w:color w:val="272727" w:themeColor="text1" w:themeTint="D8"/>
    </w:rPr>
  </w:style>
  <w:style w:type="paragraph" w:styleId="Ttulo">
    <w:name w:val="Title"/>
    <w:basedOn w:val="Normal"/>
    <w:next w:val="Normal"/>
    <w:link w:val="TtuloCar"/>
    <w:uiPriority w:val="10"/>
    <w:qFormat/>
    <w:rsid w:val="00936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6A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6A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6A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6A95"/>
    <w:pPr>
      <w:spacing w:before="160"/>
      <w:jc w:val="center"/>
    </w:pPr>
    <w:rPr>
      <w:i/>
      <w:iCs/>
      <w:color w:val="404040" w:themeColor="text1" w:themeTint="BF"/>
    </w:rPr>
  </w:style>
  <w:style w:type="character" w:customStyle="1" w:styleId="CitaCar">
    <w:name w:val="Cita Car"/>
    <w:basedOn w:val="Fuentedeprrafopredeter"/>
    <w:link w:val="Cita"/>
    <w:uiPriority w:val="29"/>
    <w:rsid w:val="00936A95"/>
    <w:rPr>
      <w:i/>
      <w:iCs/>
      <w:color w:val="404040" w:themeColor="text1" w:themeTint="BF"/>
    </w:rPr>
  </w:style>
  <w:style w:type="paragraph" w:styleId="Prrafodelista">
    <w:name w:val="List Paragraph"/>
    <w:basedOn w:val="Normal"/>
    <w:uiPriority w:val="34"/>
    <w:qFormat/>
    <w:rsid w:val="00936A95"/>
    <w:pPr>
      <w:ind w:left="720"/>
      <w:contextualSpacing/>
    </w:pPr>
  </w:style>
  <w:style w:type="character" w:styleId="nfasisintenso">
    <w:name w:val="Intense Emphasis"/>
    <w:basedOn w:val="Fuentedeprrafopredeter"/>
    <w:uiPriority w:val="21"/>
    <w:qFormat/>
    <w:rsid w:val="00936A95"/>
    <w:rPr>
      <w:i/>
      <w:iCs/>
      <w:color w:val="0F4761" w:themeColor="accent1" w:themeShade="BF"/>
    </w:rPr>
  </w:style>
  <w:style w:type="paragraph" w:styleId="Citadestacada">
    <w:name w:val="Intense Quote"/>
    <w:basedOn w:val="Normal"/>
    <w:next w:val="Normal"/>
    <w:link w:val="CitadestacadaCar"/>
    <w:uiPriority w:val="30"/>
    <w:qFormat/>
    <w:rsid w:val="00936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6A95"/>
    <w:rPr>
      <w:i/>
      <w:iCs/>
      <w:color w:val="0F4761" w:themeColor="accent1" w:themeShade="BF"/>
    </w:rPr>
  </w:style>
  <w:style w:type="character" w:styleId="Referenciaintensa">
    <w:name w:val="Intense Reference"/>
    <w:basedOn w:val="Fuentedeprrafopredeter"/>
    <w:uiPriority w:val="32"/>
    <w:qFormat/>
    <w:rsid w:val="00936A95"/>
    <w:rPr>
      <w:b/>
      <w:bCs/>
      <w:smallCaps/>
      <w:color w:val="0F4761" w:themeColor="accent1" w:themeShade="BF"/>
      <w:spacing w:val="5"/>
    </w:rPr>
  </w:style>
  <w:style w:type="table" w:styleId="Tablaconcuadrcula">
    <w:name w:val="Table Grid"/>
    <w:basedOn w:val="Tablanormal"/>
    <w:uiPriority w:val="59"/>
    <w:rsid w:val="00AF6A85"/>
    <w:pPr>
      <w:spacing w:after="0" w:line="240" w:lineRule="auto"/>
    </w:pPr>
    <w:rPr>
      <w:rFonts w:eastAsiaTheme="minorEastAsia"/>
      <w:kern w:val="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3" Type="http://schemas.openxmlformats.org/officeDocument/2006/relationships/settings" Target="settings.xml"/><Relationship Id="rId21" Type="http://schemas.openxmlformats.org/officeDocument/2006/relationships/image" Target="media/image9.wmf"/><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fontTable" Target="fontTable.xml"/><Relationship Id="rId10" Type="http://schemas.openxmlformats.org/officeDocument/2006/relationships/oleObject" Target="embeddings/oleObject3.bin"/><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723</Words>
  <Characters>3977</Characters>
  <Application>Microsoft Office Word</Application>
  <DocSecurity>0</DocSecurity>
  <Lines>33</Lines>
  <Paragraphs>9</Paragraphs>
  <ScaleCrop>false</ScaleCrop>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HINCAPIE MARTINEZ Juan</dc:creator>
  <cp:keywords/>
  <dc:description/>
  <cp:lastModifiedBy>HINCAPIE MARTINEZ Juan</cp:lastModifiedBy>
  <cp:revision>2</cp:revision>
  <dcterms:created xsi:type="dcterms:W3CDTF">2026-10-27T02:13:00Z</dcterms:created>
  <dcterms:modified xsi:type="dcterms:W3CDTF">2026-10-27T02:14:00Z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eebf31f6ab6bfa0afde37dad6a746d496063e46ac328c46a31bbd885db5782e5</vt:lpwstr>
  </property>
</Properties>
</file>