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56722" w14:textId="77777777" w:rsidR="009D33FF" w:rsidRPr="001035BE" w:rsidRDefault="009D33FF" w:rsidP="009D33FF">
      <w:pPr>
        <w:jc w:val="both"/>
        <w:rPr>
          <w:b/>
        </w:rPr>
      </w:pPr>
      <w:r w:rsidRPr="001035BE">
        <w:rPr>
          <w:b/>
        </w:rPr>
        <w:t xml:space="preserve">Tsingtao Breweries </w:t>
      </w:r>
    </w:p>
    <w:p w14:paraId="18F2576C" w14:textId="77777777" w:rsidR="009D33FF" w:rsidRDefault="009D33FF" w:rsidP="009D33FF">
      <w:pPr>
        <w:spacing w:before="240"/>
        <w:jc w:val="both"/>
      </w:pPr>
      <w:r>
        <w:t>Tsingtao Breweries produces and distributes beer and other alcoholic beverages in China and around the world under the Tsingtao brand name. It is a relatively small business that has 653.15 million outstanding shares listed on the Shanghai and Hong Kong Exchanges. The beer market in China and South East Asia is still underdeveloped, offering high growth opportunities. Tsingtao reports earnings equal to 72.36 million CY (Chinese Yuan) on a Book value of equity of 2,588 million CY. Tsingtao is forward looking and is undertaking significant new investments, which are financed using both new equity and debt. Debt issues have been relatively volatile, but firm aims at a relatively stable leverage, by issuing an equivalent number of shares, at least on the long term. These investments are expected to increase ROE to 12% within the first 5 years and to 20% the following 5 years (from +6 to +10) and stay there. Revenues, Capital Expenditure, Depreciations, Net Working Capital (non-cash) and Debt Ratio of the last 5 years are reported below (in million CY):</w:t>
      </w:r>
    </w:p>
    <w:tbl>
      <w:tblPr>
        <w:tblW w:w="6482" w:type="dxa"/>
        <w:jc w:val="center"/>
        <w:tblLook w:val="04A0" w:firstRow="1" w:lastRow="0" w:firstColumn="1" w:lastColumn="0" w:noHBand="0" w:noVBand="1"/>
      </w:tblPr>
      <w:tblGrid>
        <w:gridCol w:w="1691"/>
        <w:gridCol w:w="959"/>
        <w:gridCol w:w="958"/>
        <w:gridCol w:w="958"/>
        <w:gridCol w:w="958"/>
        <w:gridCol w:w="958"/>
      </w:tblGrid>
      <w:tr w:rsidR="009D33FF" w:rsidRPr="004B697F" w14:paraId="0E5CEE5A" w14:textId="77777777" w:rsidTr="00D54296">
        <w:trPr>
          <w:trHeight w:val="315"/>
          <w:jc w:val="center"/>
        </w:trPr>
        <w:tc>
          <w:tcPr>
            <w:tcW w:w="1691" w:type="dxa"/>
            <w:tcBorders>
              <w:top w:val="nil"/>
              <w:left w:val="nil"/>
              <w:bottom w:val="double" w:sz="6" w:space="0" w:color="auto"/>
              <w:right w:val="nil"/>
            </w:tcBorders>
            <w:noWrap/>
            <w:vAlign w:val="bottom"/>
            <w:hideMark/>
          </w:tcPr>
          <w:p w14:paraId="24109C6F" w14:textId="77777777" w:rsidR="009D33FF" w:rsidRPr="004B697F" w:rsidRDefault="009D33FF" w:rsidP="00D54296">
            <w:pPr>
              <w:spacing w:after="0" w:line="240" w:lineRule="auto"/>
              <w:rPr>
                <w:rFonts w:ascii="Calibri" w:eastAsia="Times New Roman" w:hAnsi="Calibri" w:cs="Times New Roman"/>
                <w:color w:val="000000"/>
              </w:rPr>
            </w:pPr>
            <w:r w:rsidRPr="004B697F">
              <w:rPr>
                <w:rFonts w:ascii="Calibri" w:eastAsia="Times New Roman" w:hAnsi="Calibri" w:cs="Times New Roman"/>
                <w:color w:val="000000"/>
              </w:rPr>
              <w:t> </w:t>
            </w:r>
          </w:p>
        </w:tc>
        <w:tc>
          <w:tcPr>
            <w:tcW w:w="959" w:type="dxa"/>
            <w:tcBorders>
              <w:top w:val="nil"/>
              <w:left w:val="nil"/>
              <w:bottom w:val="double" w:sz="6" w:space="0" w:color="auto"/>
              <w:right w:val="nil"/>
            </w:tcBorders>
            <w:vAlign w:val="center"/>
            <w:hideMark/>
          </w:tcPr>
          <w:p w14:paraId="2C4E0BC4"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20</w:t>
            </w:r>
            <w:r>
              <w:rPr>
                <w:rFonts w:ascii="Calibri" w:eastAsia="Times New Roman" w:hAnsi="Calibri" w:cs="Times New Roman"/>
                <w:color w:val="000000"/>
              </w:rPr>
              <w:t>12</w:t>
            </w:r>
          </w:p>
        </w:tc>
        <w:tc>
          <w:tcPr>
            <w:tcW w:w="958" w:type="dxa"/>
            <w:tcBorders>
              <w:top w:val="nil"/>
              <w:left w:val="nil"/>
              <w:bottom w:val="double" w:sz="6" w:space="0" w:color="auto"/>
              <w:right w:val="nil"/>
            </w:tcBorders>
            <w:vAlign w:val="center"/>
            <w:hideMark/>
          </w:tcPr>
          <w:p w14:paraId="492635F2" w14:textId="77777777" w:rsidR="009D33FF" w:rsidRPr="004B697F" w:rsidRDefault="009D33FF" w:rsidP="00D5429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2011</w:t>
            </w:r>
          </w:p>
        </w:tc>
        <w:tc>
          <w:tcPr>
            <w:tcW w:w="958" w:type="dxa"/>
            <w:tcBorders>
              <w:top w:val="nil"/>
              <w:left w:val="nil"/>
              <w:bottom w:val="double" w:sz="6" w:space="0" w:color="auto"/>
              <w:right w:val="nil"/>
            </w:tcBorders>
            <w:vAlign w:val="center"/>
            <w:hideMark/>
          </w:tcPr>
          <w:p w14:paraId="59F0534A" w14:textId="77777777" w:rsidR="009D33FF" w:rsidRPr="004B697F" w:rsidRDefault="009D33FF" w:rsidP="00D5429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2010</w:t>
            </w:r>
          </w:p>
        </w:tc>
        <w:tc>
          <w:tcPr>
            <w:tcW w:w="958" w:type="dxa"/>
            <w:tcBorders>
              <w:top w:val="nil"/>
              <w:left w:val="nil"/>
              <w:bottom w:val="double" w:sz="6" w:space="0" w:color="auto"/>
              <w:right w:val="nil"/>
            </w:tcBorders>
            <w:vAlign w:val="center"/>
            <w:hideMark/>
          </w:tcPr>
          <w:p w14:paraId="73B81792" w14:textId="77777777" w:rsidR="009D33FF" w:rsidRPr="004B697F" w:rsidRDefault="009D33FF" w:rsidP="00D5429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2009</w:t>
            </w:r>
          </w:p>
        </w:tc>
        <w:tc>
          <w:tcPr>
            <w:tcW w:w="958" w:type="dxa"/>
            <w:tcBorders>
              <w:top w:val="nil"/>
              <w:left w:val="nil"/>
              <w:bottom w:val="double" w:sz="6" w:space="0" w:color="auto"/>
              <w:right w:val="nil"/>
            </w:tcBorders>
            <w:vAlign w:val="center"/>
            <w:hideMark/>
          </w:tcPr>
          <w:p w14:paraId="786D2622" w14:textId="77777777" w:rsidR="009D33FF" w:rsidRPr="004B697F" w:rsidRDefault="009D33FF" w:rsidP="00D5429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2008</w:t>
            </w:r>
          </w:p>
        </w:tc>
      </w:tr>
      <w:tr w:rsidR="009D33FF" w:rsidRPr="004B697F" w14:paraId="3127E936" w14:textId="77777777" w:rsidTr="00D54296">
        <w:trPr>
          <w:trHeight w:val="315"/>
          <w:jc w:val="center"/>
        </w:trPr>
        <w:tc>
          <w:tcPr>
            <w:tcW w:w="1691" w:type="dxa"/>
            <w:tcBorders>
              <w:top w:val="nil"/>
              <w:left w:val="nil"/>
              <w:bottom w:val="nil"/>
              <w:right w:val="nil"/>
            </w:tcBorders>
            <w:noWrap/>
            <w:vAlign w:val="bottom"/>
            <w:hideMark/>
          </w:tcPr>
          <w:p w14:paraId="1E3099E3" w14:textId="77777777" w:rsidR="009D33FF" w:rsidRPr="004B697F" w:rsidRDefault="009D33FF" w:rsidP="00D54296">
            <w:pPr>
              <w:spacing w:after="0" w:line="240" w:lineRule="auto"/>
              <w:rPr>
                <w:rFonts w:ascii="Calibri" w:eastAsia="Times New Roman" w:hAnsi="Calibri" w:cs="Times New Roman"/>
                <w:color w:val="000000"/>
              </w:rPr>
            </w:pPr>
            <w:r w:rsidRPr="004B697F">
              <w:rPr>
                <w:rFonts w:ascii="Calibri" w:eastAsia="Times New Roman" w:hAnsi="Calibri" w:cs="Times New Roman"/>
                <w:color w:val="000000"/>
              </w:rPr>
              <w:t>Revenues</w:t>
            </w:r>
          </w:p>
        </w:tc>
        <w:tc>
          <w:tcPr>
            <w:tcW w:w="959" w:type="dxa"/>
            <w:tcBorders>
              <w:top w:val="nil"/>
              <w:left w:val="nil"/>
              <w:bottom w:val="nil"/>
              <w:right w:val="nil"/>
            </w:tcBorders>
            <w:vAlign w:val="center"/>
            <w:hideMark/>
          </w:tcPr>
          <w:p w14:paraId="498C4CDE"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2,253</w:t>
            </w:r>
          </w:p>
        </w:tc>
        <w:tc>
          <w:tcPr>
            <w:tcW w:w="958" w:type="dxa"/>
            <w:tcBorders>
              <w:top w:val="nil"/>
              <w:left w:val="nil"/>
              <w:bottom w:val="nil"/>
              <w:right w:val="nil"/>
            </w:tcBorders>
            <w:vAlign w:val="center"/>
            <w:hideMark/>
          </w:tcPr>
          <w:p w14:paraId="266DAB5B"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1598</w:t>
            </w:r>
          </w:p>
        </w:tc>
        <w:tc>
          <w:tcPr>
            <w:tcW w:w="958" w:type="dxa"/>
            <w:tcBorders>
              <w:top w:val="nil"/>
              <w:left w:val="nil"/>
              <w:bottom w:val="nil"/>
              <w:right w:val="nil"/>
            </w:tcBorders>
            <w:vAlign w:val="center"/>
            <w:hideMark/>
          </w:tcPr>
          <w:p w14:paraId="58537934"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1,043</w:t>
            </w:r>
          </w:p>
        </w:tc>
        <w:tc>
          <w:tcPr>
            <w:tcW w:w="958" w:type="dxa"/>
            <w:tcBorders>
              <w:top w:val="nil"/>
              <w:left w:val="nil"/>
              <w:bottom w:val="nil"/>
              <w:right w:val="nil"/>
            </w:tcBorders>
            <w:vAlign w:val="center"/>
            <w:hideMark/>
          </w:tcPr>
          <w:p w14:paraId="155DB41B"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688</w:t>
            </w:r>
          </w:p>
        </w:tc>
        <w:tc>
          <w:tcPr>
            <w:tcW w:w="958" w:type="dxa"/>
            <w:tcBorders>
              <w:top w:val="nil"/>
              <w:left w:val="nil"/>
              <w:bottom w:val="nil"/>
              <w:right w:val="nil"/>
            </w:tcBorders>
            <w:vAlign w:val="center"/>
            <w:hideMark/>
          </w:tcPr>
          <w:p w14:paraId="46D33F15"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567</w:t>
            </w:r>
          </w:p>
        </w:tc>
      </w:tr>
      <w:tr w:rsidR="009D33FF" w:rsidRPr="004B697F" w14:paraId="0F39F47B" w14:textId="77777777" w:rsidTr="00D54296">
        <w:trPr>
          <w:trHeight w:val="300"/>
          <w:jc w:val="center"/>
        </w:trPr>
        <w:tc>
          <w:tcPr>
            <w:tcW w:w="1691" w:type="dxa"/>
            <w:tcBorders>
              <w:top w:val="nil"/>
              <w:left w:val="nil"/>
              <w:bottom w:val="nil"/>
              <w:right w:val="nil"/>
            </w:tcBorders>
            <w:noWrap/>
            <w:vAlign w:val="bottom"/>
            <w:hideMark/>
          </w:tcPr>
          <w:p w14:paraId="632A9BA0" w14:textId="77777777" w:rsidR="009D33FF" w:rsidRPr="004B697F" w:rsidRDefault="009D33FF" w:rsidP="00D54296">
            <w:pPr>
              <w:spacing w:after="0" w:line="240" w:lineRule="auto"/>
              <w:rPr>
                <w:rFonts w:ascii="Calibri" w:eastAsia="Times New Roman" w:hAnsi="Calibri" w:cs="Times New Roman"/>
                <w:color w:val="000000"/>
              </w:rPr>
            </w:pPr>
            <w:r w:rsidRPr="004B697F">
              <w:rPr>
                <w:rFonts w:ascii="Calibri" w:eastAsia="Times New Roman" w:hAnsi="Calibri" w:cs="Times New Roman"/>
                <w:color w:val="000000"/>
              </w:rPr>
              <w:t>Cap Ex</w:t>
            </w:r>
          </w:p>
        </w:tc>
        <w:tc>
          <w:tcPr>
            <w:tcW w:w="959" w:type="dxa"/>
            <w:tcBorders>
              <w:top w:val="nil"/>
              <w:left w:val="nil"/>
              <w:bottom w:val="nil"/>
              <w:right w:val="nil"/>
            </w:tcBorders>
            <w:vAlign w:val="center"/>
            <w:hideMark/>
          </w:tcPr>
          <w:p w14:paraId="74A12F40"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335</w:t>
            </w:r>
          </w:p>
        </w:tc>
        <w:tc>
          <w:tcPr>
            <w:tcW w:w="958" w:type="dxa"/>
            <w:tcBorders>
              <w:top w:val="nil"/>
              <w:left w:val="nil"/>
              <w:bottom w:val="nil"/>
              <w:right w:val="nil"/>
            </w:tcBorders>
            <w:vAlign w:val="center"/>
            <w:hideMark/>
          </w:tcPr>
          <w:p w14:paraId="669E9A31"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296</w:t>
            </w:r>
          </w:p>
        </w:tc>
        <w:tc>
          <w:tcPr>
            <w:tcW w:w="958" w:type="dxa"/>
            <w:tcBorders>
              <w:top w:val="nil"/>
              <w:left w:val="nil"/>
              <w:bottom w:val="nil"/>
              <w:right w:val="nil"/>
            </w:tcBorders>
            <w:vAlign w:val="center"/>
            <w:hideMark/>
          </w:tcPr>
          <w:p w14:paraId="6D8E3206"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257</w:t>
            </w:r>
          </w:p>
        </w:tc>
        <w:tc>
          <w:tcPr>
            <w:tcW w:w="958" w:type="dxa"/>
            <w:tcBorders>
              <w:top w:val="nil"/>
              <w:left w:val="nil"/>
              <w:bottom w:val="nil"/>
              <w:right w:val="nil"/>
            </w:tcBorders>
            <w:vAlign w:val="center"/>
            <w:hideMark/>
          </w:tcPr>
          <w:p w14:paraId="0322036C"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218</w:t>
            </w:r>
          </w:p>
        </w:tc>
        <w:tc>
          <w:tcPr>
            <w:tcW w:w="958" w:type="dxa"/>
            <w:tcBorders>
              <w:top w:val="nil"/>
              <w:left w:val="nil"/>
              <w:bottom w:val="nil"/>
              <w:right w:val="nil"/>
            </w:tcBorders>
            <w:vAlign w:val="center"/>
            <w:hideMark/>
          </w:tcPr>
          <w:p w14:paraId="4AEA07CC"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179</w:t>
            </w:r>
          </w:p>
        </w:tc>
      </w:tr>
      <w:tr w:rsidR="009D33FF" w:rsidRPr="004B697F" w14:paraId="4E43914B" w14:textId="77777777" w:rsidTr="00D54296">
        <w:trPr>
          <w:trHeight w:val="300"/>
          <w:jc w:val="center"/>
        </w:trPr>
        <w:tc>
          <w:tcPr>
            <w:tcW w:w="1691" w:type="dxa"/>
            <w:tcBorders>
              <w:top w:val="nil"/>
              <w:left w:val="nil"/>
              <w:bottom w:val="nil"/>
              <w:right w:val="nil"/>
            </w:tcBorders>
            <w:noWrap/>
            <w:vAlign w:val="bottom"/>
            <w:hideMark/>
          </w:tcPr>
          <w:p w14:paraId="3D64D538" w14:textId="77777777" w:rsidR="009D33FF" w:rsidRPr="004B697F" w:rsidRDefault="009D33FF" w:rsidP="00D54296">
            <w:pPr>
              <w:spacing w:after="0" w:line="240" w:lineRule="auto"/>
              <w:rPr>
                <w:rFonts w:ascii="Calibri" w:eastAsia="Times New Roman" w:hAnsi="Calibri" w:cs="Times New Roman"/>
                <w:color w:val="000000"/>
              </w:rPr>
            </w:pPr>
            <w:r w:rsidRPr="004B697F">
              <w:rPr>
                <w:rFonts w:ascii="Calibri" w:eastAsia="Times New Roman" w:hAnsi="Calibri" w:cs="Times New Roman"/>
                <w:color w:val="000000"/>
              </w:rPr>
              <w:t>Depreciation</w:t>
            </w:r>
          </w:p>
        </w:tc>
        <w:tc>
          <w:tcPr>
            <w:tcW w:w="959" w:type="dxa"/>
            <w:tcBorders>
              <w:top w:val="nil"/>
              <w:left w:val="nil"/>
              <w:bottom w:val="nil"/>
              <w:right w:val="nil"/>
            </w:tcBorders>
            <w:vAlign w:val="center"/>
            <w:hideMark/>
          </w:tcPr>
          <w:p w14:paraId="6054AA92"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204</w:t>
            </w:r>
          </w:p>
        </w:tc>
        <w:tc>
          <w:tcPr>
            <w:tcW w:w="958" w:type="dxa"/>
            <w:tcBorders>
              <w:top w:val="nil"/>
              <w:left w:val="nil"/>
              <w:bottom w:val="nil"/>
              <w:right w:val="nil"/>
            </w:tcBorders>
            <w:vAlign w:val="center"/>
            <w:hideMark/>
          </w:tcPr>
          <w:p w14:paraId="2B208C17"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188</w:t>
            </w:r>
          </w:p>
        </w:tc>
        <w:tc>
          <w:tcPr>
            <w:tcW w:w="958" w:type="dxa"/>
            <w:tcBorders>
              <w:top w:val="nil"/>
              <w:left w:val="nil"/>
              <w:bottom w:val="nil"/>
              <w:right w:val="nil"/>
            </w:tcBorders>
            <w:vAlign w:val="center"/>
            <w:hideMark/>
          </w:tcPr>
          <w:p w14:paraId="1AAB1B29"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192</w:t>
            </w:r>
          </w:p>
        </w:tc>
        <w:tc>
          <w:tcPr>
            <w:tcW w:w="958" w:type="dxa"/>
            <w:tcBorders>
              <w:top w:val="nil"/>
              <w:left w:val="nil"/>
              <w:bottom w:val="nil"/>
              <w:right w:val="nil"/>
            </w:tcBorders>
            <w:vAlign w:val="center"/>
            <w:hideMark/>
          </w:tcPr>
          <w:p w14:paraId="313DAE57"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156</w:t>
            </w:r>
          </w:p>
        </w:tc>
        <w:tc>
          <w:tcPr>
            <w:tcW w:w="958" w:type="dxa"/>
            <w:tcBorders>
              <w:top w:val="nil"/>
              <w:left w:val="nil"/>
              <w:bottom w:val="nil"/>
              <w:right w:val="nil"/>
            </w:tcBorders>
            <w:vAlign w:val="center"/>
            <w:hideMark/>
          </w:tcPr>
          <w:p w14:paraId="26560D28"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140</w:t>
            </w:r>
          </w:p>
        </w:tc>
      </w:tr>
      <w:tr w:rsidR="009D33FF" w:rsidRPr="004B697F" w14:paraId="3ACA9E26" w14:textId="77777777" w:rsidTr="00D54296">
        <w:trPr>
          <w:trHeight w:val="315"/>
          <w:jc w:val="center"/>
        </w:trPr>
        <w:tc>
          <w:tcPr>
            <w:tcW w:w="1691" w:type="dxa"/>
            <w:tcBorders>
              <w:top w:val="nil"/>
              <w:left w:val="nil"/>
              <w:bottom w:val="nil"/>
              <w:right w:val="nil"/>
            </w:tcBorders>
            <w:noWrap/>
            <w:vAlign w:val="bottom"/>
            <w:hideMark/>
          </w:tcPr>
          <w:p w14:paraId="1129DB51" w14:textId="77777777" w:rsidR="009D33FF" w:rsidRPr="004B697F" w:rsidRDefault="009D33FF" w:rsidP="00D54296">
            <w:pPr>
              <w:spacing w:after="0" w:line="240" w:lineRule="auto"/>
              <w:rPr>
                <w:rFonts w:ascii="Calibri" w:eastAsia="Times New Roman" w:hAnsi="Calibri" w:cs="Times New Roman"/>
                <w:color w:val="000000"/>
              </w:rPr>
            </w:pPr>
            <w:r w:rsidRPr="004B697F">
              <w:rPr>
                <w:rFonts w:ascii="Calibri" w:eastAsia="Times New Roman" w:hAnsi="Calibri" w:cs="Times New Roman"/>
                <w:color w:val="000000"/>
              </w:rPr>
              <w:t>NWC</w:t>
            </w:r>
            <w:r>
              <w:rPr>
                <w:rFonts w:ascii="Calibri" w:eastAsia="Times New Roman" w:hAnsi="Calibri" w:cs="Times New Roman"/>
                <w:color w:val="000000"/>
              </w:rPr>
              <w:t xml:space="preserve"> </w:t>
            </w:r>
          </w:p>
        </w:tc>
        <w:tc>
          <w:tcPr>
            <w:tcW w:w="959" w:type="dxa"/>
            <w:tcBorders>
              <w:top w:val="nil"/>
              <w:left w:val="nil"/>
              <w:bottom w:val="nil"/>
              <w:right w:val="nil"/>
            </w:tcBorders>
            <w:vAlign w:val="center"/>
            <w:hideMark/>
          </w:tcPr>
          <w:p w14:paraId="0DCF6994"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180</w:t>
            </w:r>
          </w:p>
        </w:tc>
        <w:tc>
          <w:tcPr>
            <w:tcW w:w="958" w:type="dxa"/>
            <w:tcBorders>
              <w:top w:val="nil"/>
              <w:left w:val="nil"/>
              <w:bottom w:val="nil"/>
              <w:right w:val="nil"/>
            </w:tcBorders>
            <w:vAlign w:val="center"/>
            <w:hideMark/>
          </w:tcPr>
          <w:p w14:paraId="6911FA40"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181.2</w:t>
            </w:r>
          </w:p>
        </w:tc>
        <w:tc>
          <w:tcPr>
            <w:tcW w:w="958" w:type="dxa"/>
            <w:tcBorders>
              <w:top w:val="nil"/>
              <w:left w:val="nil"/>
              <w:bottom w:val="nil"/>
              <w:right w:val="nil"/>
            </w:tcBorders>
            <w:vAlign w:val="center"/>
            <w:hideMark/>
          </w:tcPr>
          <w:p w14:paraId="71BA5EE2"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162.4</w:t>
            </w:r>
          </w:p>
        </w:tc>
        <w:tc>
          <w:tcPr>
            <w:tcW w:w="958" w:type="dxa"/>
            <w:tcBorders>
              <w:top w:val="nil"/>
              <w:left w:val="nil"/>
              <w:bottom w:val="nil"/>
              <w:right w:val="nil"/>
            </w:tcBorders>
            <w:vAlign w:val="center"/>
            <w:hideMark/>
          </w:tcPr>
          <w:p w14:paraId="15D70B0D"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123.6</w:t>
            </w:r>
          </w:p>
        </w:tc>
        <w:tc>
          <w:tcPr>
            <w:tcW w:w="958" w:type="dxa"/>
            <w:tcBorders>
              <w:top w:val="nil"/>
              <w:left w:val="nil"/>
              <w:bottom w:val="nil"/>
              <w:right w:val="nil"/>
            </w:tcBorders>
            <w:vAlign w:val="center"/>
            <w:hideMark/>
          </w:tcPr>
          <w:p w14:paraId="75CFAA71" w14:textId="77777777" w:rsidR="009D33FF" w:rsidRPr="004B697F" w:rsidRDefault="009D33FF" w:rsidP="00D54296">
            <w:pPr>
              <w:spacing w:after="0" w:line="240" w:lineRule="auto"/>
              <w:jc w:val="center"/>
              <w:rPr>
                <w:rFonts w:ascii="Calibri" w:eastAsia="Times New Roman" w:hAnsi="Calibri" w:cs="Times New Roman"/>
                <w:color w:val="000000"/>
              </w:rPr>
            </w:pPr>
            <w:r w:rsidRPr="004B697F">
              <w:rPr>
                <w:rFonts w:ascii="Calibri" w:eastAsia="Times New Roman" w:hAnsi="Calibri" w:cs="Times New Roman"/>
                <w:color w:val="000000"/>
              </w:rPr>
              <w:t>114.8</w:t>
            </w:r>
          </w:p>
        </w:tc>
      </w:tr>
      <w:tr w:rsidR="009D33FF" w:rsidRPr="004B697F" w14:paraId="7E296737" w14:textId="77777777" w:rsidTr="00D54296">
        <w:trPr>
          <w:trHeight w:val="315"/>
          <w:jc w:val="center"/>
        </w:trPr>
        <w:tc>
          <w:tcPr>
            <w:tcW w:w="1691" w:type="dxa"/>
            <w:tcBorders>
              <w:top w:val="nil"/>
              <w:left w:val="nil"/>
              <w:bottom w:val="double" w:sz="6" w:space="0" w:color="auto"/>
              <w:right w:val="nil"/>
            </w:tcBorders>
            <w:noWrap/>
            <w:vAlign w:val="bottom"/>
          </w:tcPr>
          <w:p w14:paraId="0A21DD44" w14:textId="77777777" w:rsidR="009D33FF" w:rsidRPr="004B697F" w:rsidRDefault="009D33FF" w:rsidP="00D54296">
            <w:pPr>
              <w:spacing w:after="0" w:line="240" w:lineRule="auto"/>
              <w:rPr>
                <w:rFonts w:ascii="Calibri" w:eastAsia="Times New Roman" w:hAnsi="Calibri" w:cs="Times New Roman"/>
                <w:color w:val="000000"/>
              </w:rPr>
            </w:pPr>
            <w:r>
              <w:rPr>
                <w:rFonts w:ascii="Calibri" w:eastAsia="Times New Roman" w:hAnsi="Calibri" w:cs="Times New Roman"/>
                <w:color w:val="000000"/>
              </w:rPr>
              <w:t>Debt Ratio</w:t>
            </w:r>
          </w:p>
        </w:tc>
        <w:tc>
          <w:tcPr>
            <w:tcW w:w="959" w:type="dxa"/>
            <w:tcBorders>
              <w:top w:val="nil"/>
              <w:left w:val="nil"/>
              <w:bottom w:val="double" w:sz="6" w:space="0" w:color="auto"/>
              <w:right w:val="nil"/>
            </w:tcBorders>
            <w:vAlign w:val="center"/>
          </w:tcPr>
          <w:p w14:paraId="50323BCA" w14:textId="77777777" w:rsidR="009D33FF" w:rsidRPr="004B697F" w:rsidRDefault="009D33FF" w:rsidP="00D5429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30.92%</w:t>
            </w:r>
          </w:p>
        </w:tc>
        <w:tc>
          <w:tcPr>
            <w:tcW w:w="958" w:type="dxa"/>
            <w:tcBorders>
              <w:top w:val="nil"/>
              <w:left w:val="nil"/>
              <w:bottom w:val="double" w:sz="6" w:space="0" w:color="auto"/>
              <w:right w:val="nil"/>
            </w:tcBorders>
            <w:vAlign w:val="center"/>
          </w:tcPr>
          <w:p w14:paraId="322C962A" w14:textId="77777777" w:rsidR="009D33FF" w:rsidRPr="004B697F" w:rsidRDefault="009D33FF" w:rsidP="00D5429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40.94%</w:t>
            </w:r>
          </w:p>
        </w:tc>
        <w:tc>
          <w:tcPr>
            <w:tcW w:w="958" w:type="dxa"/>
            <w:tcBorders>
              <w:top w:val="nil"/>
              <w:left w:val="nil"/>
              <w:bottom w:val="double" w:sz="6" w:space="0" w:color="auto"/>
              <w:right w:val="nil"/>
            </w:tcBorders>
            <w:vAlign w:val="center"/>
          </w:tcPr>
          <w:p w14:paraId="7389A4AB" w14:textId="77777777" w:rsidR="009D33FF" w:rsidRPr="004B697F" w:rsidRDefault="009D33FF" w:rsidP="00D5429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43.01%</w:t>
            </w:r>
          </w:p>
        </w:tc>
        <w:tc>
          <w:tcPr>
            <w:tcW w:w="958" w:type="dxa"/>
            <w:tcBorders>
              <w:top w:val="nil"/>
              <w:left w:val="nil"/>
              <w:bottom w:val="double" w:sz="6" w:space="0" w:color="auto"/>
              <w:right w:val="nil"/>
            </w:tcBorders>
            <w:vAlign w:val="center"/>
          </w:tcPr>
          <w:p w14:paraId="027F250B" w14:textId="77777777" w:rsidR="009D33FF" w:rsidRPr="004B697F" w:rsidRDefault="009D33FF" w:rsidP="00D5429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40.10%</w:t>
            </w:r>
          </w:p>
        </w:tc>
        <w:tc>
          <w:tcPr>
            <w:tcW w:w="958" w:type="dxa"/>
            <w:tcBorders>
              <w:top w:val="nil"/>
              <w:left w:val="nil"/>
              <w:bottom w:val="double" w:sz="6" w:space="0" w:color="auto"/>
              <w:right w:val="nil"/>
            </w:tcBorders>
            <w:vAlign w:val="center"/>
          </w:tcPr>
          <w:p w14:paraId="62BCC048" w14:textId="77777777" w:rsidR="009D33FF" w:rsidRPr="004B697F" w:rsidRDefault="009D33FF" w:rsidP="00D54296">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48.02%</w:t>
            </w:r>
          </w:p>
        </w:tc>
      </w:tr>
    </w:tbl>
    <w:p w14:paraId="1569B0C1" w14:textId="77777777" w:rsidR="009D33FF" w:rsidRDefault="009D33FF" w:rsidP="009D33FF">
      <w:pPr>
        <w:spacing w:before="240"/>
        <w:jc w:val="both"/>
      </w:pPr>
      <w:r>
        <w:t>The risk-free rate in nominal CY (also the long term stable growth rate) is 10%, the Market risk premium of US is 4%, while the country risk premium for China is 2.28%. The beta for Tsingtao that reflects the bottom-up beta for the breweries sector in China is 0.75.</w:t>
      </w:r>
      <w:r w:rsidRPr="00464C06">
        <w:t xml:space="preserve"> </w:t>
      </w:r>
      <w:r>
        <w:t>As the market matures and reaches a stable growth stage analysts forecast that the beta will drift up to 0.80 and will stay at this level after 10 years. This is partially derived from estimation that Chinese economy will significantly improve within these 10 years and the country risk premium will drop (from +6 to +10 years) to 0.95% and it will be stabilized at this level.</w:t>
      </w:r>
    </w:p>
    <w:p w14:paraId="12AE94B0" w14:textId="77777777" w:rsidR="009D33FF" w:rsidRDefault="009D33FF" w:rsidP="009D33FF">
      <w:pPr>
        <w:spacing w:before="240"/>
        <w:jc w:val="both"/>
      </w:pPr>
      <w:r>
        <w:t>You are an investor in France and you are considering including Tsingtao’s stock in your portfolio. You want to find the price you should be willing to pay for each stock (fair value for the Equity of the firm).</w:t>
      </w:r>
    </w:p>
    <w:p w14:paraId="4E8ADCBC" w14:textId="77777777" w:rsidR="009D33FF" w:rsidRDefault="009D33FF" w:rsidP="009D33FF">
      <w:pPr>
        <w:pStyle w:val="Prrafodelista"/>
        <w:numPr>
          <w:ilvl w:val="0"/>
          <w:numId w:val="1"/>
        </w:numPr>
        <w:jc w:val="both"/>
      </w:pPr>
      <w:r>
        <w:t>What method would you use for the evaluation?</w:t>
      </w:r>
    </w:p>
    <w:p w14:paraId="4042E5FF" w14:textId="77777777" w:rsidR="009D33FF" w:rsidRDefault="009D33FF" w:rsidP="009D33FF">
      <w:pPr>
        <w:pStyle w:val="Prrafodelista"/>
        <w:numPr>
          <w:ilvl w:val="0"/>
          <w:numId w:val="1"/>
        </w:numPr>
        <w:jc w:val="both"/>
      </w:pPr>
      <w:r>
        <w:t>What is the reinvestment ratio and the growth rate of the firm?</w:t>
      </w:r>
    </w:p>
    <w:p w14:paraId="617E4F56" w14:textId="77777777" w:rsidR="009D33FF" w:rsidRDefault="009D33FF" w:rsidP="009D33FF">
      <w:pPr>
        <w:pStyle w:val="Prrafodelista"/>
        <w:numPr>
          <w:ilvl w:val="0"/>
          <w:numId w:val="1"/>
        </w:numPr>
        <w:jc w:val="both"/>
      </w:pPr>
      <w:r>
        <w:t>What are the expected Cash Flows?</w:t>
      </w:r>
    </w:p>
    <w:p w14:paraId="45B67F11" w14:textId="77777777" w:rsidR="009D33FF" w:rsidRDefault="009D33FF" w:rsidP="009D33FF">
      <w:pPr>
        <w:pStyle w:val="Prrafodelista"/>
        <w:numPr>
          <w:ilvl w:val="0"/>
          <w:numId w:val="1"/>
        </w:numPr>
        <w:jc w:val="both"/>
      </w:pPr>
      <w:r>
        <w:t>What is the appropriate discount rate?</w:t>
      </w:r>
    </w:p>
    <w:p w14:paraId="05358D71" w14:textId="77777777" w:rsidR="009D33FF" w:rsidRDefault="009D33FF" w:rsidP="009D33FF">
      <w:pPr>
        <w:pStyle w:val="Prrafodelista"/>
        <w:numPr>
          <w:ilvl w:val="0"/>
          <w:numId w:val="1"/>
        </w:numPr>
        <w:jc w:val="both"/>
      </w:pPr>
      <w:r>
        <w:t>What investment strategy would you follow if the market price of Tsingtao shares was 10.10 CY. How would you explain the difference?</w:t>
      </w:r>
    </w:p>
    <w:p w14:paraId="7449ECAF" w14:textId="77777777" w:rsidR="00340C28" w:rsidRDefault="00340C28"/>
    <w:p w14:paraId="0AC13A5C" w14:textId="77777777" w:rsidR="009D33FF" w:rsidRDefault="009D33FF"/>
    <w:p w14:paraId="48B4B1AE" w14:textId="75BA8473" w:rsidR="009D33FF" w:rsidRPr="009D33FF" w:rsidRDefault="009D33FF">
      <w:pPr>
        <w:rPr>
          <w:b/>
          <w:bCs/>
        </w:rPr>
      </w:pPr>
      <w:r w:rsidRPr="009D33FF">
        <w:rPr>
          <w:b/>
          <w:bCs/>
        </w:rPr>
        <w:lastRenderedPageBreak/>
        <w:t>Solution</w:t>
      </w:r>
    </w:p>
    <w:p w14:paraId="6B8C8DFF" w14:textId="77777777" w:rsidR="009F1312" w:rsidRDefault="009F1312" w:rsidP="009F1312">
      <w:pPr>
        <w:pStyle w:val="Prrafodelista"/>
        <w:numPr>
          <w:ilvl w:val="0"/>
          <w:numId w:val="2"/>
        </w:numPr>
        <w:jc w:val="both"/>
      </w:pPr>
      <w:r>
        <w:t>What method would you use for the evaluation?</w:t>
      </w:r>
    </w:p>
    <w:p w14:paraId="0A3050AC" w14:textId="77777777" w:rsidR="009F1312" w:rsidRDefault="009F1312" w:rsidP="009F1312">
      <w:pPr>
        <w:jc w:val="both"/>
      </w:pPr>
      <w:r>
        <w:t>We are required to find the value of Equity, so the choice should be between Dividends and FCFE. Corporate governance in China tends to be rather weak and Dividends do not always reflect the true FCFE. Consequently, it is better to employ a FCFE model. Investments and debt issues are rather volatile, and therefore, CFs need to be adapted. Please note that under unstable leverage a FCFF model might be more appropriate, since it incorporates changes in the D/E ratio into the discount rate and interest payments do not need to be scaled or normalized in the CFs. However, we are required to find the value of the equity and we know that firm aims at a relatively stable D/E ratio on the long term. This means that Debt ratio is not expected to change dramatically over the years, although reinvestment (both the rate and the actual figures) might be even more volatile.</w:t>
      </w:r>
    </w:p>
    <w:p w14:paraId="7A9392A6" w14:textId="77777777" w:rsidR="009F1312" w:rsidRDefault="009F1312" w:rsidP="009F1312">
      <w:pPr>
        <w:jc w:val="both"/>
      </w:pPr>
      <w:r>
        <w:t>In addition, Tsingtao is a relatively small company that tries to serve a potentially huge and growing market. Consequently, there are significant growth opportunities in the first years, which are expected to go through a moderate and then reach a relatively stable stage. Consequently, a three-stage growth model would better reflect CF and growth rate evolution, and thus the true value of the firm.</w:t>
      </w:r>
    </w:p>
    <w:p w14:paraId="0A6DE50A" w14:textId="77777777" w:rsidR="009F1312" w:rsidRDefault="009F1312" w:rsidP="009F1312">
      <w:pPr>
        <w:pStyle w:val="Prrafodelista"/>
        <w:numPr>
          <w:ilvl w:val="0"/>
          <w:numId w:val="2"/>
        </w:numPr>
        <w:jc w:val="both"/>
      </w:pPr>
      <w:r>
        <w:t>What is the reinvestment ratio and the growth rate of the firm?</w:t>
      </w:r>
    </w:p>
    <w:p w14:paraId="34F8787D" w14:textId="77777777" w:rsidR="009F1312" w:rsidRDefault="009F1312" w:rsidP="009F1312">
      <w:pPr>
        <w:jc w:val="both"/>
      </w:pPr>
      <w:r>
        <w:t>The first step to find the reinvestment ratio is to find the reinvestment needs of the firm.</w:t>
      </w:r>
    </w:p>
    <w:p w14:paraId="3B3334AB" w14:textId="77777777" w:rsidR="009F1312" w:rsidRDefault="009F1312" w:rsidP="009F1312">
      <w:pPr>
        <w:tabs>
          <w:tab w:val="left" w:pos="1245"/>
        </w:tabs>
        <w:jc w:val="both"/>
      </w:pPr>
      <w:r w:rsidRPr="00BC78AA">
        <w:rPr>
          <w:position w:val="-28"/>
        </w:rPr>
        <w:object w:dxaOrig="5220" w:dyaOrig="680" w14:anchorId="35D9AE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1pt;height:33.75pt" o:ole="">
            <v:imagedata r:id="rId5" o:title=""/>
          </v:shape>
          <o:OLEObject Type="Embed" ProgID="Equation.3" ShapeID="_x0000_i1025" DrawAspect="Content" ObjectID="_1854576356" r:id="rId6"/>
        </w:object>
      </w:r>
    </w:p>
    <w:p w14:paraId="3678551F" w14:textId="77777777" w:rsidR="009F1312" w:rsidRDefault="009F1312" w:rsidP="009F1312">
      <w:pPr>
        <w:tabs>
          <w:tab w:val="left" w:pos="1245"/>
        </w:tabs>
        <w:jc w:val="both"/>
      </w:pPr>
      <w:r>
        <w:t>However, NWC has been volatile. Consequently, the current figure of NWC, might be inappropriate. We need to normalize the figure in order to have a better estimate. One way to do it is to measure it as a proportion of Revenues. Then the idea is that the increase in sales (from 2011 to 2012) needs to supported by an increase in NWC investment (measured as a proportion of the sales). Consequently:</w:t>
      </w:r>
    </w:p>
    <w:p w14:paraId="4166474D" w14:textId="77777777" w:rsidR="009F1312" w:rsidRDefault="009F1312" w:rsidP="009F1312">
      <w:pPr>
        <w:tabs>
          <w:tab w:val="left" w:pos="1245"/>
        </w:tabs>
        <w:jc w:val="both"/>
      </w:pPr>
      <w:r w:rsidRPr="00EB749E">
        <w:rPr>
          <w:position w:val="-64"/>
        </w:rPr>
        <w:object w:dxaOrig="6039" w:dyaOrig="1400" w14:anchorId="7B040499">
          <v:shape id="_x0000_i1026" type="#_x0000_t75" style="width:302.25pt;height:70.5pt" o:ole="">
            <v:imagedata r:id="rId7" o:title=""/>
          </v:shape>
          <o:OLEObject Type="Embed" ProgID="Equation.3" ShapeID="_x0000_i1026" DrawAspect="Content" ObjectID="_1854576357" r:id="rId8"/>
        </w:object>
      </w:r>
    </w:p>
    <w:p w14:paraId="0BCA21ED" w14:textId="77777777" w:rsidR="009F1312" w:rsidRDefault="009F1312" w:rsidP="009F1312">
      <w:pPr>
        <w:tabs>
          <w:tab w:val="left" w:pos="1245"/>
          <w:tab w:val="center" w:pos="4536"/>
        </w:tabs>
        <w:jc w:val="both"/>
      </w:pPr>
      <w:r>
        <w:t>Then the normalized reinvestment is:</w:t>
      </w:r>
      <w:r>
        <w:tab/>
      </w:r>
    </w:p>
    <w:p w14:paraId="6484497A" w14:textId="77777777" w:rsidR="009F1312" w:rsidRDefault="009F1312" w:rsidP="009F1312">
      <w:pPr>
        <w:tabs>
          <w:tab w:val="left" w:pos="1245"/>
        </w:tabs>
        <w:jc w:val="both"/>
      </w:pPr>
      <w:r w:rsidRPr="00BC78AA">
        <w:rPr>
          <w:position w:val="-28"/>
        </w:rPr>
        <w:object w:dxaOrig="5679" w:dyaOrig="680" w14:anchorId="64314C5A">
          <v:shape id="_x0000_i1027" type="#_x0000_t75" style="width:284.25pt;height:33.75pt" o:ole="">
            <v:imagedata r:id="rId9" o:title=""/>
          </v:shape>
          <o:OLEObject Type="Embed" ProgID="Equation.3" ShapeID="_x0000_i1027" DrawAspect="Content" ObjectID="_1854576358" r:id="rId10"/>
        </w:object>
      </w:r>
    </w:p>
    <w:p w14:paraId="4203B8FE" w14:textId="77777777" w:rsidR="009F1312" w:rsidRDefault="009F1312" w:rsidP="009F1312">
      <w:pPr>
        <w:tabs>
          <w:tab w:val="left" w:pos="1245"/>
        </w:tabs>
        <w:jc w:val="both"/>
      </w:pPr>
      <w:r>
        <w:lastRenderedPageBreak/>
        <w:t xml:space="preserve">This investment will be financed using both debt and equity. In order to find the growth rate in Earnings (or EPS), g=(Equity Reinvestment Ratio)*ROE, we need to find which part of this investment comes from equity, (1-Debt Ratio). However, DR has been volatile, current values might not be representative, and needs to be normalized. One way to do it is to use last year’s financing mix (last year’s DR: </w:t>
      </w:r>
      <w:r w:rsidRPr="008C3A06">
        <w:t>This includes information from two years. We can also use trailing or average values. All of them are different smoothing processes to account for the fact that NWC might change more or less than a “rational” expectation.</w:t>
      </w:r>
      <w:r>
        <w:t>) with current figures for investment and Earnings.  Consequently:</w:t>
      </w:r>
    </w:p>
    <w:p w14:paraId="23DCC2CA" w14:textId="77777777" w:rsidR="009F1312" w:rsidRDefault="009F1312" w:rsidP="009F1312">
      <w:pPr>
        <w:tabs>
          <w:tab w:val="left" w:pos="1245"/>
        </w:tabs>
        <w:jc w:val="both"/>
      </w:pPr>
      <w:r w:rsidRPr="006A3EF6">
        <w:rPr>
          <w:position w:val="-30"/>
        </w:rPr>
        <w:object w:dxaOrig="8840" w:dyaOrig="700" w14:anchorId="524B12C1">
          <v:shape id="_x0000_i1028" type="#_x0000_t75" style="width:441pt;height:35.25pt" o:ole="">
            <v:imagedata r:id="rId11" o:title=""/>
          </v:shape>
          <o:OLEObject Type="Embed" ProgID="Equation.3" ShapeID="_x0000_i1028" DrawAspect="Content" ObjectID="_1854576359" r:id="rId12"/>
        </w:object>
      </w:r>
    </w:p>
    <w:p w14:paraId="6729830A" w14:textId="77777777" w:rsidR="009F1312" w:rsidRDefault="009F1312" w:rsidP="009F1312">
      <w:pPr>
        <w:tabs>
          <w:tab w:val="left" w:pos="1245"/>
        </w:tabs>
        <w:jc w:val="both"/>
      </w:pPr>
      <w:r>
        <w:t>Then, in order to find a reasonable growth rate we need the ROE. Current ROE is</w:t>
      </w:r>
    </w:p>
    <w:p w14:paraId="3E9517A9" w14:textId="77777777" w:rsidR="009F1312" w:rsidRDefault="009F1312" w:rsidP="009F1312">
      <w:pPr>
        <w:tabs>
          <w:tab w:val="left" w:pos="1245"/>
        </w:tabs>
        <w:jc w:val="both"/>
      </w:pPr>
      <w:r w:rsidRPr="006A3EF6">
        <w:rPr>
          <w:position w:val="-28"/>
        </w:rPr>
        <w:object w:dxaOrig="3460" w:dyaOrig="660" w14:anchorId="251B4BD5">
          <v:shape id="_x0000_i1029" type="#_x0000_t75" style="width:173.25pt;height:33pt" o:ole="">
            <v:imagedata r:id="rId13" o:title=""/>
          </v:shape>
          <o:OLEObject Type="Embed" ProgID="Equation.3" ShapeID="_x0000_i1029" DrawAspect="Content" ObjectID="_1854576360" r:id="rId14"/>
        </w:object>
      </w:r>
    </w:p>
    <w:p w14:paraId="78B97FFD" w14:textId="77777777" w:rsidR="009F1312" w:rsidRDefault="009F1312" w:rsidP="009F1312">
      <w:pPr>
        <w:tabs>
          <w:tab w:val="left" w:pos="1245"/>
        </w:tabs>
        <w:jc w:val="both"/>
      </w:pPr>
      <w:r>
        <w:t>However, we expect ROE to increase to 12% within the next 5 years. If we assume that all new investments (f.e. 183.3m CY) will earn immediately 12% and that existing projects will gradually gain more, the expected growth rate is:</w:t>
      </w:r>
    </w:p>
    <w:p w14:paraId="7F7005B1" w14:textId="77777777" w:rsidR="009F1312" w:rsidRDefault="009F1312" w:rsidP="009F1312">
      <w:pPr>
        <w:tabs>
          <w:tab w:val="left" w:pos="1245"/>
        </w:tabs>
        <w:spacing w:after="0"/>
        <w:jc w:val="both"/>
      </w:pPr>
      <w:r w:rsidRPr="005B443C">
        <w:rPr>
          <w:position w:val="-102"/>
        </w:rPr>
        <w:object w:dxaOrig="9880" w:dyaOrig="1900" w14:anchorId="2338FC6D">
          <v:shape id="_x0000_i1030" type="#_x0000_t75" style="width:494.25pt;height:95.25pt" o:ole="">
            <v:imagedata r:id="rId15" o:title=""/>
          </v:shape>
          <o:OLEObject Type="Embed" ProgID="Equation.3" ShapeID="_x0000_i1030" DrawAspect="Content" ObjectID="_1854576361" r:id="rId16"/>
        </w:object>
      </w:r>
    </w:p>
    <w:p w14:paraId="07975004" w14:textId="77777777" w:rsidR="009F1312" w:rsidRDefault="009F1312" w:rsidP="009F1312">
      <w:pPr>
        <w:tabs>
          <w:tab w:val="left" w:pos="1245"/>
        </w:tabs>
        <w:jc w:val="both"/>
      </w:pPr>
      <w:r>
        <w:t>In this estimation we also assume that the equity reinvestment rate will stay stable (it is a normalized figure, so it is rational to assume that it is not random) for the first 5 years.</w:t>
      </w:r>
    </w:p>
    <w:p w14:paraId="52E54E8B" w14:textId="77777777" w:rsidR="009F1312" w:rsidRDefault="009F1312" w:rsidP="009F1312">
      <w:pPr>
        <w:pStyle w:val="Prrafodelista"/>
        <w:numPr>
          <w:ilvl w:val="0"/>
          <w:numId w:val="2"/>
        </w:numPr>
        <w:jc w:val="both"/>
      </w:pPr>
      <w:r>
        <w:t>What are the expected Cash Flows?</w:t>
      </w:r>
    </w:p>
    <w:p w14:paraId="420300F7" w14:textId="77777777" w:rsidR="009F1312" w:rsidRDefault="009F1312" w:rsidP="009F1312">
      <w:pPr>
        <w:jc w:val="both"/>
      </w:pPr>
      <w:r>
        <w:t xml:space="preserve">Before we estimate the FCFE, we need to estimate the expected growth rate, as well as the equity reinvestment rate for years from 6 to 10 and beyond. We assume that the long term growth rate should be equivalent to the growth rate of Chinese economy. Consequently, the reinvestment rate for year 10 and beyond should be, </w:t>
      </w:r>
      <w:r w:rsidRPr="006A3EF6">
        <w:rPr>
          <w:position w:val="-30"/>
        </w:rPr>
        <w:object w:dxaOrig="4280" w:dyaOrig="680" w14:anchorId="5C38B777">
          <v:shape id="_x0000_i1031" type="#_x0000_t75" style="width:213.75pt;height:33.75pt" o:ole="">
            <v:imagedata r:id="rId17" o:title=""/>
          </v:shape>
          <o:OLEObject Type="Embed" ProgID="Equation.3" ShapeID="_x0000_i1031" DrawAspect="Content" ObjectID="_1854576362" r:id="rId18"/>
        </w:object>
      </w:r>
      <w:r>
        <w:t>. For the transition stage we assume a linear change (-8.356%p.a. for g, 19.994%p.a. for RR). Consequently:</w:t>
      </w:r>
    </w:p>
    <w:tbl>
      <w:tblPr>
        <w:tblStyle w:val="Tablaconcuadrcula"/>
        <w:tblW w:w="0" w:type="auto"/>
        <w:jc w:val="center"/>
        <w:tblLook w:val="04A0" w:firstRow="1" w:lastRow="0" w:firstColumn="1" w:lastColumn="0" w:noHBand="0" w:noVBand="1"/>
      </w:tblPr>
      <w:tblGrid>
        <w:gridCol w:w="3003"/>
        <w:gridCol w:w="3014"/>
        <w:gridCol w:w="3037"/>
      </w:tblGrid>
      <w:tr w:rsidR="009F1312" w14:paraId="57039761" w14:textId="77777777" w:rsidTr="00D54296">
        <w:trPr>
          <w:jc w:val="center"/>
        </w:trPr>
        <w:tc>
          <w:tcPr>
            <w:tcW w:w="3096" w:type="dxa"/>
            <w:vAlign w:val="center"/>
          </w:tcPr>
          <w:p w14:paraId="0848CEBD" w14:textId="77777777" w:rsidR="009F1312" w:rsidRDefault="009F1312" w:rsidP="00D54296">
            <w:pPr>
              <w:jc w:val="center"/>
            </w:pPr>
            <w:r>
              <w:t>Year</w:t>
            </w:r>
          </w:p>
        </w:tc>
        <w:tc>
          <w:tcPr>
            <w:tcW w:w="3096" w:type="dxa"/>
            <w:vAlign w:val="center"/>
          </w:tcPr>
          <w:p w14:paraId="6C2FD551" w14:textId="77777777" w:rsidR="009F1312" w:rsidRDefault="009F1312" w:rsidP="00D54296">
            <w:pPr>
              <w:jc w:val="center"/>
            </w:pPr>
            <w:r>
              <w:t>Growth Rate</w:t>
            </w:r>
          </w:p>
        </w:tc>
        <w:tc>
          <w:tcPr>
            <w:tcW w:w="3096" w:type="dxa"/>
            <w:vAlign w:val="center"/>
          </w:tcPr>
          <w:p w14:paraId="02176829" w14:textId="77777777" w:rsidR="009F1312" w:rsidRDefault="009F1312" w:rsidP="00D54296">
            <w:pPr>
              <w:jc w:val="center"/>
            </w:pPr>
            <w:r>
              <w:t>Reinvestment Rate</w:t>
            </w:r>
          </w:p>
        </w:tc>
      </w:tr>
      <w:tr w:rsidR="009F1312" w14:paraId="663C7D69" w14:textId="77777777" w:rsidTr="00D54296">
        <w:trPr>
          <w:jc w:val="center"/>
        </w:trPr>
        <w:tc>
          <w:tcPr>
            <w:tcW w:w="3096" w:type="dxa"/>
            <w:vAlign w:val="center"/>
          </w:tcPr>
          <w:p w14:paraId="3FD33DB5" w14:textId="77777777" w:rsidR="009F1312" w:rsidRDefault="009F1312" w:rsidP="00D54296">
            <w:pPr>
              <w:jc w:val="center"/>
            </w:pPr>
            <w:r>
              <w:lastRenderedPageBreak/>
              <w:t>+5</w:t>
            </w:r>
          </w:p>
        </w:tc>
        <w:tc>
          <w:tcPr>
            <w:tcW w:w="3096" w:type="dxa"/>
            <w:vAlign w:val="center"/>
          </w:tcPr>
          <w:p w14:paraId="25F30E97" w14:textId="77777777" w:rsidR="009F1312" w:rsidRDefault="009F1312" w:rsidP="00D54296">
            <w:pPr>
              <w:jc w:val="center"/>
            </w:pPr>
            <w:r>
              <w:t>51.78%</w:t>
            </w:r>
          </w:p>
        </w:tc>
        <w:tc>
          <w:tcPr>
            <w:tcW w:w="3096" w:type="dxa"/>
            <w:vAlign w:val="center"/>
          </w:tcPr>
          <w:p w14:paraId="7883756B" w14:textId="77777777" w:rsidR="009F1312" w:rsidRDefault="009F1312" w:rsidP="00D54296">
            <w:pPr>
              <w:jc w:val="center"/>
            </w:pPr>
            <w:r>
              <w:t>149.97%</w:t>
            </w:r>
          </w:p>
        </w:tc>
      </w:tr>
      <w:tr w:rsidR="009F1312" w14:paraId="2D992042" w14:textId="77777777" w:rsidTr="00D54296">
        <w:trPr>
          <w:jc w:val="center"/>
        </w:trPr>
        <w:tc>
          <w:tcPr>
            <w:tcW w:w="3096" w:type="dxa"/>
            <w:vAlign w:val="center"/>
          </w:tcPr>
          <w:p w14:paraId="39A40295" w14:textId="77777777" w:rsidR="009F1312" w:rsidRDefault="009F1312" w:rsidP="00D54296">
            <w:pPr>
              <w:jc w:val="center"/>
            </w:pPr>
            <w:r>
              <w:t>+6</w:t>
            </w:r>
          </w:p>
        </w:tc>
        <w:tc>
          <w:tcPr>
            <w:tcW w:w="3096" w:type="dxa"/>
            <w:vAlign w:val="center"/>
          </w:tcPr>
          <w:p w14:paraId="6403D502" w14:textId="77777777" w:rsidR="009F1312" w:rsidRDefault="009F1312" w:rsidP="00D54296">
            <w:pPr>
              <w:jc w:val="center"/>
            </w:pPr>
            <w:r>
              <w:t>43.42%</w:t>
            </w:r>
          </w:p>
        </w:tc>
        <w:tc>
          <w:tcPr>
            <w:tcW w:w="3096" w:type="dxa"/>
            <w:vAlign w:val="center"/>
          </w:tcPr>
          <w:p w14:paraId="020FA77D" w14:textId="77777777" w:rsidR="009F1312" w:rsidRDefault="009F1312" w:rsidP="00D54296">
            <w:pPr>
              <w:jc w:val="center"/>
            </w:pPr>
            <w:r>
              <w:t>129.98%</w:t>
            </w:r>
          </w:p>
        </w:tc>
      </w:tr>
      <w:tr w:rsidR="009F1312" w14:paraId="5B7544D2" w14:textId="77777777" w:rsidTr="00D54296">
        <w:trPr>
          <w:jc w:val="center"/>
        </w:trPr>
        <w:tc>
          <w:tcPr>
            <w:tcW w:w="3096" w:type="dxa"/>
            <w:vAlign w:val="center"/>
          </w:tcPr>
          <w:p w14:paraId="66774025" w14:textId="77777777" w:rsidR="009F1312" w:rsidRDefault="009F1312" w:rsidP="00D54296">
            <w:pPr>
              <w:jc w:val="center"/>
            </w:pPr>
            <w:r>
              <w:t>+7</w:t>
            </w:r>
          </w:p>
        </w:tc>
        <w:tc>
          <w:tcPr>
            <w:tcW w:w="3096" w:type="dxa"/>
            <w:vAlign w:val="center"/>
          </w:tcPr>
          <w:p w14:paraId="07E4B6D1" w14:textId="77777777" w:rsidR="009F1312" w:rsidRDefault="009F1312" w:rsidP="00D54296">
            <w:pPr>
              <w:jc w:val="center"/>
            </w:pPr>
            <w:r>
              <w:t>35.07%</w:t>
            </w:r>
          </w:p>
        </w:tc>
        <w:tc>
          <w:tcPr>
            <w:tcW w:w="3096" w:type="dxa"/>
            <w:vAlign w:val="center"/>
          </w:tcPr>
          <w:p w14:paraId="6C462E90" w14:textId="77777777" w:rsidR="009F1312" w:rsidRDefault="009F1312" w:rsidP="00D54296">
            <w:pPr>
              <w:jc w:val="center"/>
            </w:pPr>
            <w:r>
              <w:t>109.98%</w:t>
            </w:r>
          </w:p>
        </w:tc>
      </w:tr>
      <w:tr w:rsidR="009F1312" w14:paraId="7A1DA09F" w14:textId="77777777" w:rsidTr="00D54296">
        <w:trPr>
          <w:jc w:val="center"/>
        </w:trPr>
        <w:tc>
          <w:tcPr>
            <w:tcW w:w="3096" w:type="dxa"/>
            <w:vAlign w:val="center"/>
          </w:tcPr>
          <w:p w14:paraId="3CDE0587" w14:textId="77777777" w:rsidR="009F1312" w:rsidRDefault="009F1312" w:rsidP="00D54296">
            <w:pPr>
              <w:jc w:val="center"/>
            </w:pPr>
            <w:r>
              <w:t>+8</w:t>
            </w:r>
          </w:p>
        </w:tc>
        <w:tc>
          <w:tcPr>
            <w:tcW w:w="3096" w:type="dxa"/>
            <w:vAlign w:val="center"/>
          </w:tcPr>
          <w:p w14:paraId="2C86F2B2" w14:textId="77777777" w:rsidR="009F1312" w:rsidRDefault="009F1312" w:rsidP="00D54296">
            <w:pPr>
              <w:jc w:val="center"/>
            </w:pPr>
            <w:r>
              <w:t>26.71%</w:t>
            </w:r>
          </w:p>
        </w:tc>
        <w:tc>
          <w:tcPr>
            <w:tcW w:w="3096" w:type="dxa"/>
            <w:vAlign w:val="center"/>
          </w:tcPr>
          <w:p w14:paraId="50196AA8" w14:textId="77777777" w:rsidR="009F1312" w:rsidRDefault="009F1312" w:rsidP="00D54296">
            <w:pPr>
              <w:jc w:val="center"/>
            </w:pPr>
            <w:r>
              <w:t>89.99%</w:t>
            </w:r>
          </w:p>
        </w:tc>
      </w:tr>
      <w:tr w:rsidR="009F1312" w14:paraId="4B53DF9E" w14:textId="77777777" w:rsidTr="00D54296">
        <w:trPr>
          <w:jc w:val="center"/>
        </w:trPr>
        <w:tc>
          <w:tcPr>
            <w:tcW w:w="3096" w:type="dxa"/>
            <w:vAlign w:val="center"/>
          </w:tcPr>
          <w:p w14:paraId="5DA7DBB0" w14:textId="77777777" w:rsidR="009F1312" w:rsidRDefault="009F1312" w:rsidP="00D54296">
            <w:pPr>
              <w:jc w:val="center"/>
            </w:pPr>
            <w:r>
              <w:t>+9</w:t>
            </w:r>
          </w:p>
        </w:tc>
        <w:tc>
          <w:tcPr>
            <w:tcW w:w="3096" w:type="dxa"/>
            <w:vAlign w:val="center"/>
          </w:tcPr>
          <w:p w14:paraId="0BA3C662" w14:textId="77777777" w:rsidR="009F1312" w:rsidRDefault="009F1312" w:rsidP="00D54296">
            <w:pPr>
              <w:jc w:val="center"/>
            </w:pPr>
            <w:r>
              <w:t>18.35%</w:t>
            </w:r>
          </w:p>
        </w:tc>
        <w:tc>
          <w:tcPr>
            <w:tcW w:w="3096" w:type="dxa"/>
            <w:vAlign w:val="center"/>
          </w:tcPr>
          <w:p w14:paraId="24FE501B" w14:textId="77777777" w:rsidR="009F1312" w:rsidRDefault="009F1312" w:rsidP="00D54296">
            <w:pPr>
              <w:jc w:val="center"/>
            </w:pPr>
            <w:r>
              <w:t>69.99%</w:t>
            </w:r>
          </w:p>
        </w:tc>
      </w:tr>
      <w:tr w:rsidR="009F1312" w14:paraId="62C12E9B" w14:textId="77777777" w:rsidTr="00D54296">
        <w:trPr>
          <w:jc w:val="center"/>
        </w:trPr>
        <w:tc>
          <w:tcPr>
            <w:tcW w:w="3096" w:type="dxa"/>
            <w:vAlign w:val="center"/>
          </w:tcPr>
          <w:p w14:paraId="6BB698FF" w14:textId="77777777" w:rsidR="009F1312" w:rsidRDefault="009F1312" w:rsidP="00D54296">
            <w:pPr>
              <w:contextualSpacing/>
              <w:jc w:val="center"/>
            </w:pPr>
            <w:r>
              <w:t>+10</w:t>
            </w:r>
          </w:p>
        </w:tc>
        <w:tc>
          <w:tcPr>
            <w:tcW w:w="3096" w:type="dxa"/>
            <w:vAlign w:val="center"/>
          </w:tcPr>
          <w:p w14:paraId="57185E5B" w14:textId="77777777" w:rsidR="009F1312" w:rsidRDefault="009F1312" w:rsidP="00D54296">
            <w:pPr>
              <w:jc w:val="center"/>
            </w:pPr>
            <w:r>
              <w:t>10.00%</w:t>
            </w:r>
          </w:p>
        </w:tc>
        <w:tc>
          <w:tcPr>
            <w:tcW w:w="3096" w:type="dxa"/>
            <w:vAlign w:val="center"/>
          </w:tcPr>
          <w:p w14:paraId="5CE89C4D" w14:textId="77777777" w:rsidR="009F1312" w:rsidRDefault="009F1312" w:rsidP="00D54296">
            <w:pPr>
              <w:jc w:val="center"/>
            </w:pPr>
            <w:r>
              <w:t>50.00%</w:t>
            </w:r>
          </w:p>
        </w:tc>
      </w:tr>
    </w:tbl>
    <w:p w14:paraId="2825DB15" w14:textId="77777777" w:rsidR="009F1312" w:rsidRDefault="009F1312" w:rsidP="009F1312">
      <w:pPr>
        <w:spacing w:after="0"/>
        <w:jc w:val="both"/>
      </w:pPr>
      <w:r>
        <w:t xml:space="preserve">Then we can estimate the </w:t>
      </w:r>
    </w:p>
    <w:p w14:paraId="4F528840" w14:textId="77777777" w:rsidR="009F1312" w:rsidRDefault="009F1312" w:rsidP="009F1312">
      <w:pPr>
        <w:spacing w:before="240"/>
        <w:jc w:val="both"/>
      </w:pPr>
      <w:r w:rsidRPr="00E952E8">
        <w:rPr>
          <w:position w:val="-28"/>
        </w:rPr>
        <w:object w:dxaOrig="5860" w:dyaOrig="680" w14:anchorId="06E33038">
          <v:shape id="_x0000_i1032" type="#_x0000_t75" style="width:293.25pt;height:33.75pt" o:ole="">
            <v:imagedata r:id="rId19" o:title=""/>
          </v:shape>
          <o:OLEObject Type="Embed" ProgID="Equation.3" ShapeID="_x0000_i1032" DrawAspect="Content" ObjectID="_1854576363" r:id="rId20"/>
        </w:object>
      </w:r>
    </w:p>
    <w:tbl>
      <w:tblPr>
        <w:tblStyle w:val="Tablaconcuadrcula"/>
        <w:tblW w:w="9189" w:type="dxa"/>
        <w:tblLook w:val="04A0" w:firstRow="1" w:lastRow="0" w:firstColumn="1" w:lastColumn="0" w:noHBand="0" w:noVBand="1"/>
      </w:tblPr>
      <w:tblGrid>
        <w:gridCol w:w="1589"/>
        <w:gridCol w:w="1647"/>
        <w:gridCol w:w="2145"/>
        <w:gridCol w:w="2202"/>
        <w:gridCol w:w="1606"/>
      </w:tblGrid>
      <w:tr w:rsidR="009F1312" w14:paraId="76E424D5" w14:textId="77777777" w:rsidTr="00D54296">
        <w:trPr>
          <w:trHeight w:val="381"/>
        </w:trPr>
        <w:tc>
          <w:tcPr>
            <w:tcW w:w="1589" w:type="dxa"/>
            <w:vAlign w:val="center"/>
          </w:tcPr>
          <w:p w14:paraId="2C41CE00" w14:textId="77777777" w:rsidR="009F1312" w:rsidRDefault="009F1312" w:rsidP="00D54296">
            <w:pPr>
              <w:jc w:val="center"/>
            </w:pPr>
            <w:r>
              <w:t>Year</w:t>
            </w:r>
          </w:p>
        </w:tc>
        <w:tc>
          <w:tcPr>
            <w:tcW w:w="1647" w:type="dxa"/>
            <w:vAlign w:val="center"/>
          </w:tcPr>
          <w:p w14:paraId="7388AC2A" w14:textId="77777777" w:rsidR="009F1312" w:rsidRDefault="009F1312" w:rsidP="00D54296">
            <w:pPr>
              <w:jc w:val="center"/>
            </w:pPr>
            <w:r>
              <w:t>Growth Rate</w:t>
            </w:r>
          </w:p>
        </w:tc>
        <w:tc>
          <w:tcPr>
            <w:tcW w:w="2145" w:type="dxa"/>
            <w:vAlign w:val="center"/>
          </w:tcPr>
          <w:p w14:paraId="5D41C31D" w14:textId="77777777" w:rsidR="009F1312" w:rsidRPr="00E952E8" w:rsidRDefault="009F1312" w:rsidP="00D54296">
            <w:pPr>
              <w:jc w:val="center"/>
            </w:pPr>
            <w:r>
              <w:t>Net Income</w:t>
            </w:r>
          </w:p>
        </w:tc>
        <w:tc>
          <w:tcPr>
            <w:tcW w:w="2202" w:type="dxa"/>
            <w:vAlign w:val="center"/>
          </w:tcPr>
          <w:p w14:paraId="3EE7131E" w14:textId="77777777" w:rsidR="009F1312" w:rsidRDefault="009F1312" w:rsidP="00D54296">
            <w:pPr>
              <w:jc w:val="center"/>
            </w:pPr>
            <w:r>
              <w:t>Reinvestment Rate</w:t>
            </w:r>
          </w:p>
        </w:tc>
        <w:tc>
          <w:tcPr>
            <w:tcW w:w="1606" w:type="dxa"/>
            <w:vAlign w:val="center"/>
          </w:tcPr>
          <w:p w14:paraId="41D528BC" w14:textId="77777777" w:rsidR="009F1312" w:rsidRDefault="009F1312" w:rsidP="00D54296">
            <w:pPr>
              <w:jc w:val="center"/>
            </w:pPr>
            <w:r>
              <w:t>FCFE</w:t>
            </w:r>
          </w:p>
          <w:p w14:paraId="29888F09" w14:textId="77777777" w:rsidR="009F1312" w:rsidRDefault="009F1312" w:rsidP="00D54296">
            <w:pPr>
              <w:jc w:val="center"/>
            </w:pPr>
            <w:r>
              <w:t>NI(1-RR)</w:t>
            </w:r>
          </w:p>
        </w:tc>
      </w:tr>
      <w:tr w:rsidR="009F1312" w14:paraId="1DDD95E0" w14:textId="77777777" w:rsidTr="00D54296">
        <w:trPr>
          <w:trHeight w:val="359"/>
        </w:trPr>
        <w:tc>
          <w:tcPr>
            <w:tcW w:w="1589" w:type="dxa"/>
            <w:vAlign w:val="center"/>
          </w:tcPr>
          <w:p w14:paraId="2965F40B" w14:textId="77777777" w:rsidR="009F1312" w:rsidRDefault="009F1312" w:rsidP="00D54296">
            <w:pPr>
              <w:jc w:val="center"/>
            </w:pPr>
            <w:r>
              <w:t>0</w:t>
            </w:r>
          </w:p>
        </w:tc>
        <w:tc>
          <w:tcPr>
            <w:tcW w:w="1647" w:type="dxa"/>
            <w:vAlign w:val="center"/>
          </w:tcPr>
          <w:p w14:paraId="47501CCB" w14:textId="77777777" w:rsidR="009F1312" w:rsidRDefault="009F1312" w:rsidP="00D54296">
            <w:pPr>
              <w:jc w:val="center"/>
            </w:pPr>
          </w:p>
        </w:tc>
        <w:tc>
          <w:tcPr>
            <w:tcW w:w="2145" w:type="dxa"/>
            <w:vAlign w:val="bottom"/>
          </w:tcPr>
          <w:p w14:paraId="676D6692" w14:textId="77777777" w:rsidR="009F1312" w:rsidRDefault="009F1312" w:rsidP="00D54296">
            <w:pPr>
              <w:jc w:val="center"/>
            </w:pPr>
            <w:r>
              <w:rPr>
                <w:rFonts w:ascii="Calibri" w:hAnsi="Calibri" w:cs="Calibri"/>
                <w:color w:val="000000"/>
              </w:rPr>
              <w:t>72.36</w:t>
            </w:r>
          </w:p>
        </w:tc>
        <w:tc>
          <w:tcPr>
            <w:tcW w:w="2202" w:type="dxa"/>
            <w:vAlign w:val="center"/>
          </w:tcPr>
          <w:p w14:paraId="6B04CC2C" w14:textId="77777777" w:rsidR="009F1312" w:rsidRDefault="009F1312" w:rsidP="00D54296">
            <w:pPr>
              <w:jc w:val="center"/>
            </w:pPr>
            <w:r>
              <w:t>149.97%</w:t>
            </w:r>
          </w:p>
        </w:tc>
        <w:tc>
          <w:tcPr>
            <w:tcW w:w="1606" w:type="dxa"/>
            <w:vAlign w:val="center"/>
          </w:tcPr>
          <w:p w14:paraId="3219ABB9" w14:textId="77777777" w:rsidR="009F1312" w:rsidRDefault="009F1312" w:rsidP="00D54296">
            <w:pPr>
              <w:jc w:val="center"/>
            </w:pPr>
          </w:p>
        </w:tc>
      </w:tr>
      <w:tr w:rsidR="009F1312" w14:paraId="00E4F159" w14:textId="77777777" w:rsidTr="00D54296">
        <w:trPr>
          <w:trHeight w:val="349"/>
        </w:trPr>
        <w:tc>
          <w:tcPr>
            <w:tcW w:w="1589" w:type="dxa"/>
            <w:vAlign w:val="center"/>
          </w:tcPr>
          <w:p w14:paraId="58CB78A8" w14:textId="77777777" w:rsidR="009F1312" w:rsidRDefault="009F1312" w:rsidP="00D54296">
            <w:pPr>
              <w:jc w:val="center"/>
            </w:pPr>
            <w:r>
              <w:t>+1</w:t>
            </w:r>
          </w:p>
        </w:tc>
        <w:tc>
          <w:tcPr>
            <w:tcW w:w="1647" w:type="dxa"/>
            <w:vAlign w:val="center"/>
          </w:tcPr>
          <w:p w14:paraId="10E0AD69" w14:textId="77777777" w:rsidR="009F1312" w:rsidRDefault="009F1312" w:rsidP="00D54296">
            <w:pPr>
              <w:jc w:val="center"/>
            </w:pPr>
            <w:r>
              <w:t>51.78%</w:t>
            </w:r>
          </w:p>
        </w:tc>
        <w:tc>
          <w:tcPr>
            <w:tcW w:w="2145" w:type="dxa"/>
            <w:vAlign w:val="bottom"/>
          </w:tcPr>
          <w:p w14:paraId="16694999" w14:textId="77777777" w:rsidR="009F1312" w:rsidRDefault="009F1312" w:rsidP="00D54296">
            <w:pPr>
              <w:jc w:val="center"/>
            </w:pPr>
            <w:r>
              <w:rPr>
                <w:rFonts w:ascii="Calibri" w:hAnsi="Calibri" w:cs="Calibri"/>
                <w:color w:val="000000"/>
              </w:rPr>
              <w:t>109.83</w:t>
            </w:r>
          </w:p>
        </w:tc>
        <w:tc>
          <w:tcPr>
            <w:tcW w:w="2202" w:type="dxa"/>
            <w:vAlign w:val="center"/>
          </w:tcPr>
          <w:p w14:paraId="60392BC0" w14:textId="77777777" w:rsidR="009F1312" w:rsidRDefault="009F1312" w:rsidP="00D54296">
            <w:pPr>
              <w:jc w:val="center"/>
            </w:pPr>
            <w:r>
              <w:t>149.97%</w:t>
            </w:r>
          </w:p>
        </w:tc>
        <w:tc>
          <w:tcPr>
            <w:tcW w:w="1606" w:type="dxa"/>
            <w:vAlign w:val="bottom"/>
          </w:tcPr>
          <w:p w14:paraId="0C50554C" w14:textId="77777777" w:rsidR="009F1312" w:rsidRDefault="009F1312" w:rsidP="00D54296">
            <w:pPr>
              <w:jc w:val="center"/>
            </w:pPr>
            <w:r>
              <w:rPr>
                <w:rFonts w:ascii="Calibri" w:hAnsi="Calibri" w:cs="Calibri"/>
                <w:color w:val="000000"/>
              </w:rPr>
              <w:t>-54.88</w:t>
            </w:r>
          </w:p>
        </w:tc>
      </w:tr>
      <w:tr w:rsidR="009F1312" w14:paraId="6A7F8384" w14:textId="77777777" w:rsidTr="00D54296">
        <w:trPr>
          <w:trHeight w:val="359"/>
        </w:trPr>
        <w:tc>
          <w:tcPr>
            <w:tcW w:w="1589" w:type="dxa"/>
            <w:vAlign w:val="center"/>
          </w:tcPr>
          <w:p w14:paraId="6A0B814D" w14:textId="77777777" w:rsidR="009F1312" w:rsidRDefault="009F1312" w:rsidP="00D54296">
            <w:pPr>
              <w:jc w:val="center"/>
            </w:pPr>
            <w:r>
              <w:t>+2</w:t>
            </w:r>
          </w:p>
        </w:tc>
        <w:tc>
          <w:tcPr>
            <w:tcW w:w="1647" w:type="dxa"/>
            <w:vAlign w:val="center"/>
          </w:tcPr>
          <w:p w14:paraId="566C59FD" w14:textId="77777777" w:rsidR="009F1312" w:rsidRDefault="009F1312" w:rsidP="00D54296">
            <w:pPr>
              <w:jc w:val="center"/>
            </w:pPr>
            <w:r>
              <w:t>51.78%</w:t>
            </w:r>
          </w:p>
        </w:tc>
        <w:tc>
          <w:tcPr>
            <w:tcW w:w="2145" w:type="dxa"/>
            <w:vAlign w:val="bottom"/>
          </w:tcPr>
          <w:p w14:paraId="15C51D3F" w14:textId="77777777" w:rsidR="009F1312" w:rsidRDefault="009F1312" w:rsidP="00D54296">
            <w:pPr>
              <w:jc w:val="center"/>
            </w:pPr>
            <w:r>
              <w:rPr>
                <w:rFonts w:ascii="Calibri" w:hAnsi="Calibri" w:cs="Calibri"/>
                <w:color w:val="000000"/>
              </w:rPr>
              <w:t>166.70</w:t>
            </w:r>
          </w:p>
        </w:tc>
        <w:tc>
          <w:tcPr>
            <w:tcW w:w="2202" w:type="dxa"/>
            <w:vAlign w:val="center"/>
          </w:tcPr>
          <w:p w14:paraId="45FFC7AA" w14:textId="77777777" w:rsidR="009F1312" w:rsidRDefault="009F1312" w:rsidP="00D54296">
            <w:pPr>
              <w:jc w:val="center"/>
            </w:pPr>
            <w:r>
              <w:t>149.97%</w:t>
            </w:r>
          </w:p>
        </w:tc>
        <w:tc>
          <w:tcPr>
            <w:tcW w:w="1606" w:type="dxa"/>
            <w:vAlign w:val="bottom"/>
          </w:tcPr>
          <w:p w14:paraId="009B8D11" w14:textId="77777777" w:rsidR="009F1312" w:rsidRDefault="009F1312" w:rsidP="00D54296">
            <w:pPr>
              <w:jc w:val="center"/>
            </w:pPr>
            <w:r>
              <w:rPr>
                <w:rFonts w:ascii="Calibri" w:hAnsi="Calibri" w:cs="Calibri"/>
                <w:color w:val="000000"/>
              </w:rPr>
              <w:t>-83.30</w:t>
            </w:r>
          </w:p>
        </w:tc>
      </w:tr>
      <w:tr w:rsidR="009F1312" w14:paraId="13F20E69" w14:textId="77777777" w:rsidTr="00D54296">
        <w:trPr>
          <w:trHeight w:val="349"/>
        </w:trPr>
        <w:tc>
          <w:tcPr>
            <w:tcW w:w="1589" w:type="dxa"/>
            <w:vAlign w:val="center"/>
          </w:tcPr>
          <w:p w14:paraId="38E53D97" w14:textId="77777777" w:rsidR="009F1312" w:rsidRDefault="009F1312" w:rsidP="00D54296">
            <w:pPr>
              <w:jc w:val="center"/>
            </w:pPr>
            <w:r>
              <w:t>+3</w:t>
            </w:r>
          </w:p>
        </w:tc>
        <w:tc>
          <w:tcPr>
            <w:tcW w:w="1647" w:type="dxa"/>
            <w:vAlign w:val="center"/>
          </w:tcPr>
          <w:p w14:paraId="4D78989B" w14:textId="77777777" w:rsidR="009F1312" w:rsidRDefault="009F1312" w:rsidP="00D54296">
            <w:pPr>
              <w:jc w:val="center"/>
            </w:pPr>
            <w:r>
              <w:t>51.78%</w:t>
            </w:r>
          </w:p>
        </w:tc>
        <w:tc>
          <w:tcPr>
            <w:tcW w:w="2145" w:type="dxa"/>
            <w:vAlign w:val="bottom"/>
          </w:tcPr>
          <w:p w14:paraId="2683487A" w14:textId="77777777" w:rsidR="009F1312" w:rsidRDefault="009F1312" w:rsidP="00D54296">
            <w:pPr>
              <w:jc w:val="center"/>
            </w:pPr>
            <w:r>
              <w:rPr>
                <w:rFonts w:ascii="Calibri" w:hAnsi="Calibri" w:cs="Calibri"/>
                <w:color w:val="000000"/>
              </w:rPr>
              <w:t>253.01</w:t>
            </w:r>
          </w:p>
        </w:tc>
        <w:tc>
          <w:tcPr>
            <w:tcW w:w="2202" w:type="dxa"/>
            <w:vAlign w:val="center"/>
          </w:tcPr>
          <w:p w14:paraId="158045D1" w14:textId="77777777" w:rsidR="009F1312" w:rsidRDefault="009F1312" w:rsidP="00D54296">
            <w:pPr>
              <w:jc w:val="center"/>
            </w:pPr>
            <w:r>
              <w:t>149.97%</w:t>
            </w:r>
          </w:p>
        </w:tc>
        <w:tc>
          <w:tcPr>
            <w:tcW w:w="1606" w:type="dxa"/>
            <w:vAlign w:val="bottom"/>
          </w:tcPr>
          <w:p w14:paraId="75032010" w14:textId="77777777" w:rsidR="009F1312" w:rsidRDefault="009F1312" w:rsidP="00D54296">
            <w:pPr>
              <w:jc w:val="center"/>
            </w:pPr>
            <w:r>
              <w:rPr>
                <w:rFonts w:ascii="Calibri" w:hAnsi="Calibri" w:cs="Calibri"/>
                <w:color w:val="000000"/>
              </w:rPr>
              <w:t>-126.43</w:t>
            </w:r>
          </w:p>
        </w:tc>
      </w:tr>
      <w:tr w:rsidR="009F1312" w14:paraId="232D9CBC" w14:textId="77777777" w:rsidTr="00D54296">
        <w:trPr>
          <w:trHeight w:val="359"/>
        </w:trPr>
        <w:tc>
          <w:tcPr>
            <w:tcW w:w="1589" w:type="dxa"/>
            <w:vAlign w:val="center"/>
          </w:tcPr>
          <w:p w14:paraId="481F8AB7" w14:textId="77777777" w:rsidR="009F1312" w:rsidRDefault="009F1312" w:rsidP="00D54296">
            <w:pPr>
              <w:jc w:val="center"/>
            </w:pPr>
            <w:r>
              <w:t>+4</w:t>
            </w:r>
          </w:p>
        </w:tc>
        <w:tc>
          <w:tcPr>
            <w:tcW w:w="1647" w:type="dxa"/>
            <w:vAlign w:val="center"/>
          </w:tcPr>
          <w:p w14:paraId="7D196DA3" w14:textId="77777777" w:rsidR="009F1312" w:rsidRDefault="009F1312" w:rsidP="00D54296">
            <w:pPr>
              <w:jc w:val="center"/>
            </w:pPr>
            <w:r>
              <w:t>51.78%</w:t>
            </w:r>
          </w:p>
        </w:tc>
        <w:tc>
          <w:tcPr>
            <w:tcW w:w="2145" w:type="dxa"/>
            <w:vAlign w:val="bottom"/>
          </w:tcPr>
          <w:p w14:paraId="538FFA47" w14:textId="77777777" w:rsidR="009F1312" w:rsidRDefault="009F1312" w:rsidP="00D54296">
            <w:pPr>
              <w:jc w:val="center"/>
            </w:pPr>
            <w:r>
              <w:rPr>
                <w:rFonts w:ascii="Calibri" w:hAnsi="Calibri" w:cs="Calibri"/>
                <w:color w:val="000000"/>
              </w:rPr>
              <w:t>384.02</w:t>
            </w:r>
          </w:p>
        </w:tc>
        <w:tc>
          <w:tcPr>
            <w:tcW w:w="2202" w:type="dxa"/>
            <w:vAlign w:val="center"/>
          </w:tcPr>
          <w:p w14:paraId="55815D91" w14:textId="77777777" w:rsidR="009F1312" w:rsidRDefault="009F1312" w:rsidP="00D54296">
            <w:pPr>
              <w:jc w:val="center"/>
            </w:pPr>
            <w:r>
              <w:t>149.97%</w:t>
            </w:r>
          </w:p>
        </w:tc>
        <w:tc>
          <w:tcPr>
            <w:tcW w:w="1606" w:type="dxa"/>
            <w:vAlign w:val="bottom"/>
          </w:tcPr>
          <w:p w14:paraId="5EEF7378" w14:textId="77777777" w:rsidR="009F1312" w:rsidRDefault="009F1312" w:rsidP="00D54296">
            <w:pPr>
              <w:jc w:val="center"/>
            </w:pPr>
            <w:r>
              <w:rPr>
                <w:rFonts w:ascii="Calibri" w:hAnsi="Calibri" w:cs="Calibri"/>
                <w:color w:val="000000"/>
              </w:rPr>
              <w:t>-191.90</w:t>
            </w:r>
          </w:p>
        </w:tc>
      </w:tr>
      <w:tr w:rsidR="009F1312" w14:paraId="505F7FDA" w14:textId="77777777" w:rsidTr="00D54296">
        <w:trPr>
          <w:trHeight w:val="349"/>
        </w:trPr>
        <w:tc>
          <w:tcPr>
            <w:tcW w:w="1589" w:type="dxa"/>
            <w:vAlign w:val="center"/>
          </w:tcPr>
          <w:p w14:paraId="27E29F7B" w14:textId="77777777" w:rsidR="009F1312" w:rsidRDefault="009F1312" w:rsidP="00D54296">
            <w:pPr>
              <w:jc w:val="center"/>
            </w:pPr>
            <w:r>
              <w:t>+5</w:t>
            </w:r>
          </w:p>
        </w:tc>
        <w:tc>
          <w:tcPr>
            <w:tcW w:w="1647" w:type="dxa"/>
            <w:vAlign w:val="center"/>
          </w:tcPr>
          <w:p w14:paraId="3C0CFA97" w14:textId="77777777" w:rsidR="009F1312" w:rsidRDefault="009F1312" w:rsidP="00D54296">
            <w:pPr>
              <w:jc w:val="center"/>
            </w:pPr>
            <w:r>
              <w:t>51.78%</w:t>
            </w:r>
          </w:p>
        </w:tc>
        <w:tc>
          <w:tcPr>
            <w:tcW w:w="2145" w:type="dxa"/>
            <w:vAlign w:val="bottom"/>
          </w:tcPr>
          <w:p w14:paraId="58F64294" w14:textId="77777777" w:rsidR="009F1312" w:rsidRDefault="009F1312" w:rsidP="00D54296">
            <w:pPr>
              <w:jc w:val="center"/>
            </w:pPr>
            <w:r>
              <w:rPr>
                <w:rFonts w:ascii="Calibri" w:hAnsi="Calibri" w:cs="Calibri"/>
                <w:color w:val="000000"/>
              </w:rPr>
              <w:t>582.87</w:t>
            </w:r>
          </w:p>
        </w:tc>
        <w:tc>
          <w:tcPr>
            <w:tcW w:w="2202" w:type="dxa"/>
            <w:vAlign w:val="center"/>
          </w:tcPr>
          <w:p w14:paraId="7A650BCB" w14:textId="77777777" w:rsidR="009F1312" w:rsidRDefault="009F1312" w:rsidP="00D54296">
            <w:pPr>
              <w:jc w:val="center"/>
            </w:pPr>
            <w:r>
              <w:t>149.97%</w:t>
            </w:r>
          </w:p>
        </w:tc>
        <w:tc>
          <w:tcPr>
            <w:tcW w:w="1606" w:type="dxa"/>
            <w:vAlign w:val="bottom"/>
          </w:tcPr>
          <w:p w14:paraId="11825765" w14:textId="77777777" w:rsidR="009F1312" w:rsidRDefault="009F1312" w:rsidP="00D54296">
            <w:pPr>
              <w:jc w:val="center"/>
            </w:pPr>
            <w:r>
              <w:rPr>
                <w:rFonts w:ascii="Calibri" w:hAnsi="Calibri" w:cs="Calibri"/>
                <w:color w:val="000000"/>
              </w:rPr>
              <w:t>-291.26</w:t>
            </w:r>
          </w:p>
        </w:tc>
      </w:tr>
      <w:tr w:rsidR="009F1312" w14:paraId="5F9E73FF" w14:textId="77777777" w:rsidTr="00D54296">
        <w:trPr>
          <w:trHeight w:val="359"/>
        </w:trPr>
        <w:tc>
          <w:tcPr>
            <w:tcW w:w="1589" w:type="dxa"/>
            <w:vAlign w:val="center"/>
          </w:tcPr>
          <w:p w14:paraId="7AB8B6F1" w14:textId="77777777" w:rsidR="009F1312" w:rsidRDefault="009F1312" w:rsidP="00D54296">
            <w:pPr>
              <w:jc w:val="center"/>
            </w:pPr>
            <w:r>
              <w:t>+6</w:t>
            </w:r>
          </w:p>
        </w:tc>
        <w:tc>
          <w:tcPr>
            <w:tcW w:w="1647" w:type="dxa"/>
            <w:vAlign w:val="center"/>
          </w:tcPr>
          <w:p w14:paraId="1B4F3935" w14:textId="77777777" w:rsidR="009F1312" w:rsidRDefault="009F1312" w:rsidP="00D54296">
            <w:pPr>
              <w:jc w:val="center"/>
            </w:pPr>
            <w:r>
              <w:t>43.42%</w:t>
            </w:r>
          </w:p>
        </w:tc>
        <w:tc>
          <w:tcPr>
            <w:tcW w:w="2145" w:type="dxa"/>
            <w:vAlign w:val="bottom"/>
          </w:tcPr>
          <w:p w14:paraId="49527142" w14:textId="77777777" w:rsidR="009F1312" w:rsidRDefault="009F1312" w:rsidP="00D54296">
            <w:pPr>
              <w:jc w:val="center"/>
            </w:pPr>
            <w:r>
              <w:rPr>
                <w:rFonts w:ascii="Calibri" w:hAnsi="Calibri" w:cs="Calibri"/>
                <w:color w:val="000000"/>
              </w:rPr>
              <w:t>835.97</w:t>
            </w:r>
          </w:p>
        </w:tc>
        <w:tc>
          <w:tcPr>
            <w:tcW w:w="2202" w:type="dxa"/>
            <w:vAlign w:val="center"/>
          </w:tcPr>
          <w:p w14:paraId="7ACFC3FE" w14:textId="77777777" w:rsidR="009F1312" w:rsidRDefault="009F1312" w:rsidP="00D54296">
            <w:pPr>
              <w:jc w:val="center"/>
            </w:pPr>
            <w:r>
              <w:t>129.98%</w:t>
            </w:r>
          </w:p>
        </w:tc>
        <w:tc>
          <w:tcPr>
            <w:tcW w:w="1606" w:type="dxa"/>
            <w:vAlign w:val="bottom"/>
          </w:tcPr>
          <w:p w14:paraId="0F9EF15F" w14:textId="77777777" w:rsidR="009F1312" w:rsidRDefault="009F1312" w:rsidP="00D54296">
            <w:pPr>
              <w:jc w:val="center"/>
            </w:pPr>
            <w:r>
              <w:rPr>
                <w:rFonts w:ascii="Calibri" w:hAnsi="Calibri" w:cs="Calibri"/>
                <w:color w:val="000000"/>
              </w:rPr>
              <w:t>-250.63</w:t>
            </w:r>
          </w:p>
        </w:tc>
      </w:tr>
      <w:tr w:rsidR="009F1312" w14:paraId="2191BA6C" w14:textId="77777777" w:rsidTr="00D54296">
        <w:trPr>
          <w:trHeight w:val="359"/>
        </w:trPr>
        <w:tc>
          <w:tcPr>
            <w:tcW w:w="1589" w:type="dxa"/>
            <w:vAlign w:val="center"/>
          </w:tcPr>
          <w:p w14:paraId="5CD4D71A" w14:textId="77777777" w:rsidR="009F1312" w:rsidRDefault="009F1312" w:rsidP="00D54296">
            <w:pPr>
              <w:jc w:val="center"/>
            </w:pPr>
            <w:r>
              <w:t>+7</w:t>
            </w:r>
          </w:p>
        </w:tc>
        <w:tc>
          <w:tcPr>
            <w:tcW w:w="1647" w:type="dxa"/>
            <w:vAlign w:val="center"/>
          </w:tcPr>
          <w:p w14:paraId="6C4CD5A3" w14:textId="77777777" w:rsidR="009F1312" w:rsidRDefault="009F1312" w:rsidP="00D54296">
            <w:pPr>
              <w:jc w:val="center"/>
            </w:pPr>
            <w:r>
              <w:t>35.07%</w:t>
            </w:r>
          </w:p>
        </w:tc>
        <w:tc>
          <w:tcPr>
            <w:tcW w:w="2145" w:type="dxa"/>
            <w:vAlign w:val="bottom"/>
          </w:tcPr>
          <w:p w14:paraId="5AACBC35" w14:textId="77777777" w:rsidR="009F1312" w:rsidRDefault="009F1312" w:rsidP="00D54296">
            <w:pPr>
              <w:jc w:val="center"/>
            </w:pPr>
            <w:r>
              <w:rPr>
                <w:rFonts w:ascii="Calibri" w:hAnsi="Calibri" w:cs="Calibri"/>
                <w:color w:val="000000"/>
              </w:rPr>
              <w:t>1129.13</w:t>
            </w:r>
          </w:p>
        </w:tc>
        <w:tc>
          <w:tcPr>
            <w:tcW w:w="2202" w:type="dxa"/>
            <w:vAlign w:val="center"/>
          </w:tcPr>
          <w:p w14:paraId="2FBD2FF8" w14:textId="77777777" w:rsidR="009F1312" w:rsidRDefault="009F1312" w:rsidP="00D54296">
            <w:pPr>
              <w:jc w:val="center"/>
            </w:pPr>
            <w:r>
              <w:t>109.98%</w:t>
            </w:r>
          </w:p>
        </w:tc>
        <w:tc>
          <w:tcPr>
            <w:tcW w:w="1606" w:type="dxa"/>
            <w:vAlign w:val="bottom"/>
          </w:tcPr>
          <w:p w14:paraId="07E61A75" w14:textId="77777777" w:rsidR="009F1312" w:rsidRDefault="009F1312" w:rsidP="00D54296">
            <w:pPr>
              <w:jc w:val="center"/>
            </w:pPr>
            <w:r>
              <w:rPr>
                <w:rFonts w:ascii="Calibri" w:hAnsi="Calibri" w:cs="Calibri"/>
                <w:color w:val="000000"/>
              </w:rPr>
              <w:t>-112.69</w:t>
            </w:r>
          </w:p>
        </w:tc>
      </w:tr>
      <w:tr w:rsidR="009F1312" w14:paraId="78D7497D" w14:textId="77777777" w:rsidTr="00D54296">
        <w:trPr>
          <w:trHeight w:val="349"/>
        </w:trPr>
        <w:tc>
          <w:tcPr>
            <w:tcW w:w="1589" w:type="dxa"/>
            <w:vAlign w:val="center"/>
          </w:tcPr>
          <w:p w14:paraId="6EA97263" w14:textId="77777777" w:rsidR="009F1312" w:rsidRDefault="009F1312" w:rsidP="00D54296">
            <w:pPr>
              <w:jc w:val="center"/>
            </w:pPr>
            <w:r>
              <w:t>+8</w:t>
            </w:r>
          </w:p>
        </w:tc>
        <w:tc>
          <w:tcPr>
            <w:tcW w:w="1647" w:type="dxa"/>
            <w:vAlign w:val="center"/>
          </w:tcPr>
          <w:p w14:paraId="75961FCC" w14:textId="77777777" w:rsidR="009F1312" w:rsidRDefault="009F1312" w:rsidP="00D54296">
            <w:pPr>
              <w:jc w:val="center"/>
            </w:pPr>
            <w:r>
              <w:t>26.71%</w:t>
            </w:r>
          </w:p>
        </w:tc>
        <w:tc>
          <w:tcPr>
            <w:tcW w:w="2145" w:type="dxa"/>
            <w:vAlign w:val="bottom"/>
          </w:tcPr>
          <w:p w14:paraId="1B4EBB3D" w14:textId="77777777" w:rsidR="009F1312" w:rsidRDefault="009F1312" w:rsidP="00D54296">
            <w:pPr>
              <w:jc w:val="center"/>
            </w:pPr>
            <w:r>
              <w:rPr>
                <w:rFonts w:ascii="Calibri" w:hAnsi="Calibri" w:cs="Calibri"/>
                <w:color w:val="000000"/>
              </w:rPr>
              <w:t>1430.75</w:t>
            </w:r>
          </w:p>
        </w:tc>
        <w:tc>
          <w:tcPr>
            <w:tcW w:w="2202" w:type="dxa"/>
            <w:vAlign w:val="center"/>
          </w:tcPr>
          <w:p w14:paraId="3671DCD1" w14:textId="77777777" w:rsidR="009F1312" w:rsidRDefault="009F1312" w:rsidP="00D54296">
            <w:pPr>
              <w:jc w:val="center"/>
            </w:pPr>
            <w:r>
              <w:t>89.99%</w:t>
            </w:r>
          </w:p>
        </w:tc>
        <w:tc>
          <w:tcPr>
            <w:tcW w:w="1606" w:type="dxa"/>
            <w:vAlign w:val="bottom"/>
          </w:tcPr>
          <w:p w14:paraId="4931069B" w14:textId="77777777" w:rsidR="009F1312" w:rsidRDefault="009F1312" w:rsidP="00D54296">
            <w:pPr>
              <w:jc w:val="center"/>
            </w:pPr>
            <w:r>
              <w:rPr>
                <w:rFonts w:ascii="Calibri" w:hAnsi="Calibri" w:cs="Calibri"/>
                <w:color w:val="000000"/>
              </w:rPr>
              <w:t>143.22</w:t>
            </w:r>
          </w:p>
        </w:tc>
      </w:tr>
      <w:tr w:rsidR="009F1312" w14:paraId="13DC870F" w14:textId="77777777" w:rsidTr="00D54296">
        <w:trPr>
          <w:trHeight w:val="359"/>
        </w:trPr>
        <w:tc>
          <w:tcPr>
            <w:tcW w:w="1589" w:type="dxa"/>
            <w:vAlign w:val="center"/>
          </w:tcPr>
          <w:p w14:paraId="762B30CD" w14:textId="77777777" w:rsidR="009F1312" w:rsidRDefault="009F1312" w:rsidP="00D54296">
            <w:pPr>
              <w:jc w:val="center"/>
            </w:pPr>
            <w:r>
              <w:t>+9</w:t>
            </w:r>
          </w:p>
        </w:tc>
        <w:tc>
          <w:tcPr>
            <w:tcW w:w="1647" w:type="dxa"/>
            <w:vAlign w:val="center"/>
          </w:tcPr>
          <w:p w14:paraId="71FC13FE" w14:textId="77777777" w:rsidR="009F1312" w:rsidRDefault="009F1312" w:rsidP="00D54296">
            <w:pPr>
              <w:jc w:val="center"/>
            </w:pPr>
            <w:r>
              <w:t>18.35%</w:t>
            </w:r>
          </w:p>
        </w:tc>
        <w:tc>
          <w:tcPr>
            <w:tcW w:w="2145" w:type="dxa"/>
            <w:vAlign w:val="bottom"/>
          </w:tcPr>
          <w:p w14:paraId="6E97EA49" w14:textId="77777777" w:rsidR="009F1312" w:rsidRDefault="009F1312" w:rsidP="00D54296">
            <w:pPr>
              <w:jc w:val="center"/>
            </w:pPr>
            <w:r>
              <w:rPr>
                <w:rFonts w:ascii="Calibri" w:hAnsi="Calibri" w:cs="Calibri"/>
                <w:color w:val="000000"/>
              </w:rPr>
              <w:t>1693.38</w:t>
            </w:r>
          </w:p>
        </w:tc>
        <w:tc>
          <w:tcPr>
            <w:tcW w:w="2202" w:type="dxa"/>
            <w:vAlign w:val="center"/>
          </w:tcPr>
          <w:p w14:paraId="5503EBD4" w14:textId="77777777" w:rsidR="009F1312" w:rsidRDefault="009F1312" w:rsidP="00D54296">
            <w:pPr>
              <w:jc w:val="center"/>
            </w:pPr>
            <w:r>
              <w:t>69.99%</w:t>
            </w:r>
          </w:p>
        </w:tc>
        <w:tc>
          <w:tcPr>
            <w:tcW w:w="1606" w:type="dxa"/>
            <w:vAlign w:val="bottom"/>
          </w:tcPr>
          <w:p w14:paraId="127B00DB" w14:textId="77777777" w:rsidR="009F1312" w:rsidRDefault="009F1312" w:rsidP="00D54296">
            <w:pPr>
              <w:jc w:val="center"/>
            </w:pPr>
            <w:r>
              <w:rPr>
                <w:rFonts w:ascii="Calibri" w:hAnsi="Calibri" w:cs="Calibri"/>
                <w:color w:val="000000"/>
              </w:rPr>
              <w:t>508.18</w:t>
            </w:r>
          </w:p>
        </w:tc>
      </w:tr>
      <w:tr w:rsidR="009F1312" w14:paraId="0D565A0A" w14:textId="77777777" w:rsidTr="00D54296">
        <w:trPr>
          <w:trHeight w:val="349"/>
        </w:trPr>
        <w:tc>
          <w:tcPr>
            <w:tcW w:w="1589" w:type="dxa"/>
            <w:vAlign w:val="center"/>
          </w:tcPr>
          <w:p w14:paraId="0E361874" w14:textId="77777777" w:rsidR="009F1312" w:rsidRDefault="009F1312" w:rsidP="00D54296">
            <w:pPr>
              <w:jc w:val="center"/>
            </w:pPr>
            <w:r>
              <w:t>+10</w:t>
            </w:r>
          </w:p>
        </w:tc>
        <w:tc>
          <w:tcPr>
            <w:tcW w:w="1647" w:type="dxa"/>
            <w:vAlign w:val="center"/>
          </w:tcPr>
          <w:p w14:paraId="4C54D0FD" w14:textId="77777777" w:rsidR="009F1312" w:rsidRDefault="009F1312" w:rsidP="00D54296">
            <w:pPr>
              <w:jc w:val="center"/>
            </w:pPr>
            <w:r>
              <w:t>10.00%</w:t>
            </w:r>
          </w:p>
        </w:tc>
        <w:tc>
          <w:tcPr>
            <w:tcW w:w="2145" w:type="dxa"/>
            <w:vAlign w:val="bottom"/>
          </w:tcPr>
          <w:p w14:paraId="6CE25240" w14:textId="77777777" w:rsidR="009F1312" w:rsidRDefault="009F1312" w:rsidP="00D54296">
            <w:pPr>
              <w:jc w:val="center"/>
            </w:pPr>
            <w:r>
              <w:rPr>
                <w:rFonts w:ascii="Calibri" w:hAnsi="Calibri" w:cs="Calibri"/>
                <w:color w:val="000000"/>
              </w:rPr>
              <w:t>1862.71</w:t>
            </w:r>
          </w:p>
        </w:tc>
        <w:tc>
          <w:tcPr>
            <w:tcW w:w="2202" w:type="dxa"/>
            <w:vAlign w:val="center"/>
          </w:tcPr>
          <w:p w14:paraId="417A4102" w14:textId="77777777" w:rsidR="009F1312" w:rsidRDefault="009F1312" w:rsidP="00D54296">
            <w:pPr>
              <w:jc w:val="center"/>
            </w:pPr>
            <w:r>
              <w:t>50.00%</w:t>
            </w:r>
          </w:p>
        </w:tc>
        <w:tc>
          <w:tcPr>
            <w:tcW w:w="1606" w:type="dxa"/>
            <w:vAlign w:val="bottom"/>
          </w:tcPr>
          <w:p w14:paraId="0A1CC8F7" w14:textId="77777777" w:rsidR="009F1312" w:rsidRDefault="009F1312" w:rsidP="00D54296">
            <w:pPr>
              <w:jc w:val="center"/>
            </w:pPr>
            <w:r>
              <w:rPr>
                <w:rFonts w:ascii="Calibri" w:hAnsi="Calibri" w:cs="Calibri"/>
                <w:color w:val="000000"/>
              </w:rPr>
              <w:t>931.36</w:t>
            </w:r>
          </w:p>
        </w:tc>
      </w:tr>
      <w:tr w:rsidR="009F1312" w14:paraId="1AD503CF" w14:textId="77777777" w:rsidTr="00D54296">
        <w:trPr>
          <w:trHeight w:val="349"/>
        </w:trPr>
        <w:tc>
          <w:tcPr>
            <w:tcW w:w="1589" w:type="dxa"/>
            <w:vAlign w:val="center"/>
          </w:tcPr>
          <w:p w14:paraId="44C8EED9" w14:textId="77777777" w:rsidR="009F1312" w:rsidRDefault="009F1312" w:rsidP="00D54296">
            <w:pPr>
              <w:jc w:val="center"/>
            </w:pPr>
            <w:r>
              <w:t>Terminal Value</w:t>
            </w:r>
          </w:p>
        </w:tc>
        <w:tc>
          <w:tcPr>
            <w:tcW w:w="1647" w:type="dxa"/>
            <w:vAlign w:val="center"/>
          </w:tcPr>
          <w:p w14:paraId="6B7FE407" w14:textId="77777777" w:rsidR="009F1312" w:rsidRDefault="009F1312" w:rsidP="00D54296">
            <w:pPr>
              <w:jc w:val="center"/>
            </w:pPr>
            <w:r>
              <w:t>10.00%</w:t>
            </w:r>
          </w:p>
        </w:tc>
        <w:tc>
          <w:tcPr>
            <w:tcW w:w="2145" w:type="dxa"/>
            <w:vAlign w:val="bottom"/>
          </w:tcPr>
          <w:p w14:paraId="245BE1A5" w14:textId="77777777" w:rsidR="009F1312" w:rsidRDefault="009F1312" w:rsidP="00D54296">
            <w:pPr>
              <w:jc w:val="center"/>
            </w:pPr>
            <w:r>
              <w:rPr>
                <w:rFonts w:ascii="Calibri" w:hAnsi="Calibri" w:cs="Calibri"/>
                <w:color w:val="000000"/>
              </w:rPr>
              <w:t>2048.99</w:t>
            </w:r>
          </w:p>
        </w:tc>
        <w:tc>
          <w:tcPr>
            <w:tcW w:w="2202" w:type="dxa"/>
            <w:vAlign w:val="center"/>
          </w:tcPr>
          <w:p w14:paraId="73EC4F94" w14:textId="77777777" w:rsidR="009F1312" w:rsidRDefault="009F1312" w:rsidP="00D54296">
            <w:pPr>
              <w:jc w:val="center"/>
            </w:pPr>
            <w:r>
              <w:t>50.00%</w:t>
            </w:r>
          </w:p>
        </w:tc>
        <w:tc>
          <w:tcPr>
            <w:tcW w:w="1606" w:type="dxa"/>
            <w:vAlign w:val="bottom"/>
          </w:tcPr>
          <w:p w14:paraId="4BB5DC66" w14:textId="77777777" w:rsidR="009F1312" w:rsidRDefault="009F1312" w:rsidP="00D54296">
            <w:pPr>
              <w:jc w:val="center"/>
            </w:pPr>
            <w:r>
              <w:rPr>
                <w:rFonts w:ascii="Calibri" w:hAnsi="Calibri" w:cs="Calibri"/>
                <w:color w:val="000000"/>
              </w:rPr>
              <w:t>1024.49</w:t>
            </w:r>
          </w:p>
        </w:tc>
      </w:tr>
    </w:tbl>
    <w:p w14:paraId="78FFCC00" w14:textId="77777777" w:rsidR="009F1312" w:rsidRDefault="009F1312" w:rsidP="009F1312">
      <w:pPr>
        <w:pStyle w:val="Prrafodelista"/>
        <w:numPr>
          <w:ilvl w:val="0"/>
          <w:numId w:val="2"/>
        </w:numPr>
        <w:spacing w:before="240"/>
        <w:ind w:left="714" w:hanging="357"/>
        <w:jc w:val="both"/>
      </w:pPr>
      <w:r>
        <w:t>What is the appropriate discount rate?</w:t>
      </w:r>
    </w:p>
    <w:p w14:paraId="084217DC" w14:textId="77777777" w:rsidR="009F1312" w:rsidRDefault="009F1312" w:rsidP="009F1312">
      <w:pPr>
        <w:jc w:val="both"/>
      </w:pPr>
      <w:r>
        <w:lastRenderedPageBreak/>
        <w:t>Cost of equity is different during the high growth stage (first 5y), the transition period (following 5y) and the stable growth period (&gt;10y).</w:t>
      </w:r>
    </w:p>
    <w:tbl>
      <w:tblPr>
        <w:tblStyle w:val="Tablaconcuadrcula"/>
        <w:tblW w:w="0" w:type="auto"/>
        <w:tblLook w:val="04A0" w:firstRow="1" w:lastRow="0" w:firstColumn="1" w:lastColumn="0" w:noHBand="0" w:noVBand="1"/>
      </w:tblPr>
      <w:tblGrid>
        <w:gridCol w:w="4216"/>
        <w:gridCol w:w="4838"/>
      </w:tblGrid>
      <w:tr w:rsidR="009F1312" w14:paraId="0358A6C0" w14:textId="77777777" w:rsidTr="00D54296">
        <w:tc>
          <w:tcPr>
            <w:tcW w:w="4531" w:type="dxa"/>
          </w:tcPr>
          <w:p w14:paraId="6A9A1023" w14:textId="77777777" w:rsidR="009F1312" w:rsidRDefault="009F1312" w:rsidP="00D54296">
            <w:pPr>
              <w:jc w:val="both"/>
            </w:pPr>
            <w:r>
              <w:t>High Growth</w:t>
            </w:r>
          </w:p>
        </w:tc>
        <w:tc>
          <w:tcPr>
            <w:tcW w:w="4531" w:type="dxa"/>
          </w:tcPr>
          <w:p w14:paraId="3369F7EA" w14:textId="77777777" w:rsidR="009F1312" w:rsidRDefault="009F1312" w:rsidP="00D54296">
            <w:pPr>
              <w:jc w:val="both"/>
            </w:pPr>
            <w:r w:rsidRPr="00AC323E">
              <w:rPr>
                <w:position w:val="-14"/>
              </w:rPr>
              <w:object w:dxaOrig="4640" w:dyaOrig="380" w14:anchorId="54BD7B9B">
                <v:shape id="_x0000_i1033" type="#_x0000_t75" style="width:231pt;height:18.75pt" o:ole="">
                  <v:imagedata r:id="rId21" o:title=""/>
                </v:shape>
                <o:OLEObject Type="Embed" ProgID="Equation.3" ShapeID="_x0000_i1033" DrawAspect="Content" ObjectID="_1854576364" r:id="rId22"/>
              </w:object>
            </w:r>
          </w:p>
        </w:tc>
      </w:tr>
      <w:tr w:rsidR="009F1312" w14:paraId="2DE8C359" w14:textId="77777777" w:rsidTr="00D54296">
        <w:tc>
          <w:tcPr>
            <w:tcW w:w="4531" w:type="dxa"/>
          </w:tcPr>
          <w:p w14:paraId="7B01C5F3" w14:textId="77777777" w:rsidR="009F1312" w:rsidRDefault="009F1312" w:rsidP="00D54296">
            <w:pPr>
              <w:jc w:val="both"/>
            </w:pPr>
            <w:r>
              <w:t>Stable growth</w:t>
            </w:r>
          </w:p>
        </w:tc>
        <w:tc>
          <w:tcPr>
            <w:tcW w:w="4531" w:type="dxa"/>
          </w:tcPr>
          <w:p w14:paraId="0E13EFF2" w14:textId="77777777" w:rsidR="009F1312" w:rsidRDefault="009F1312" w:rsidP="00D54296">
            <w:pPr>
              <w:jc w:val="both"/>
            </w:pPr>
            <w:r w:rsidRPr="00AC323E">
              <w:rPr>
                <w:position w:val="-14"/>
              </w:rPr>
              <w:object w:dxaOrig="4520" w:dyaOrig="380" w14:anchorId="043BCA0C">
                <v:shape id="_x0000_i1034" type="#_x0000_t75" style="width:225pt;height:18.75pt" o:ole="">
                  <v:imagedata r:id="rId23" o:title=""/>
                </v:shape>
                <o:OLEObject Type="Embed" ProgID="Equation.3" ShapeID="_x0000_i1034" DrawAspect="Content" ObjectID="_1854576365" r:id="rId24"/>
              </w:object>
            </w:r>
          </w:p>
        </w:tc>
      </w:tr>
    </w:tbl>
    <w:p w14:paraId="559AFC28" w14:textId="77777777" w:rsidR="009F1312" w:rsidRDefault="009F1312" w:rsidP="009F1312">
      <w:pPr>
        <w:jc w:val="both"/>
      </w:pPr>
      <w:r>
        <w:t>In the transition period cost of equity adjusts in linear increments of 0.15% p.a. Consequently:</w:t>
      </w:r>
    </w:p>
    <w:tbl>
      <w:tblPr>
        <w:tblStyle w:val="Tablaconcuadrcula"/>
        <w:tblW w:w="0" w:type="auto"/>
        <w:jc w:val="center"/>
        <w:tblLook w:val="04A0" w:firstRow="1" w:lastRow="0" w:firstColumn="1" w:lastColumn="0" w:noHBand="0" w:noVBand="1"/>
      </w:tblPr>
      <w:tblGrid>
        <w:gridCol w:w="3096"/>
        <w:gridCol w:w="3096"/>
      </w:tblGrid>
      <w:tr w:rsidR="009F1312" w14:paraId="3440B1A7" w14:textId="77777777" w:rsidTr="00D54296">
        <w:trPr>
          <w:jc w:val="center"/>
        </w:trPr>
        <w:tc>
          <w:tcPr>
            <w:tcW w:w="3096" w:type="dxa"/>
            <w:vAlign w:val="center"/>
          </w:tcPr>
          <w:p w14:paraId="35C867AB" w14:textId="77777777" w:rsidR="009F1312" w:rsidRDefault="009F1312" w:rsidP="00D54296">
            <w:pPr>
              <w:jc w:val="center"/>
            </w:pPr>
            <w:r>
              <w:t>Year</w:t>
            </w:r>
          </w:p>
        </w:tc>
        <w:tc>
          <w:tcPr>
            <w:tcW w:w="3096" w:type="dxa"/>
            <w:vAlign w:val="center"/>
          </w:tcPr>
          <w:p w14:paraId="643DDC7E" w14:textId="77777777" w:rsidR="009F1312" w:rsidRDefault="009F1312" w:rsidP="00D54296">
            <w:pPr>
              <w:jc w:val="center"/>
            </w:pPr>
            <w:r>
              <w:t>Cost of Equity</w:t>
            </w:r>
          </w:p>
        </w:tc>
      </w:tr>
      <w:tr w:rsidR="009F1312" w14:paraId="1ABC24D7" w14:textId="77777777" w:rsidTr="00D54296">
        <w:trPr>
          <w:jc w:val="center"/>
        </w:trPr>
        <w:tc>
          <w:tcPr>
            <w:tcW w:w="3096" w:type="dxa"/>
            <w:vAlign w:val="center"/>
          </w:tcPr>
          <w:p w14:paraId="30EC3261" w14:textId="77777777" w:rsidR="009F1312" w:rsidRDefault="009F1312" w:rsidP="00D54296">
            <w:pPr>
              <w:jc w:val="center"/>
            </w:pPr>
            <w:r>
              <w:t>+5</w:t>
            </w:r>
          </w:p>
        </w:tc>
        <w:tc>
          <w:tcPr>
            <w:tcW w:w="3096" w:type="dxa"/>
            <w:vAlign w:val="center"/>
          </w:tcPr>
          <w:p w14:paraId="70557D7D" w14:textId="77777777" w:rsidR="009F1312" w:rsidRDefault="009F1312" w:rsidP="00D54296">
            <w:pPr>
              <w:jc w:val="center"/>
            </w:pPr>
            <w:r>
              <w:t>14.71%</w:t>
            </w:r>
          </w:p>
        </w:tc>
      </w:tr>
      <w:tr w:rsidR="009F1312" w14:paraId="484D5F0E" w14:textId="77777777" w:rsidTr="00D54296">
        <w:trPr>
          <w:jc w:val="center"/>
        </w:trPr>
        <w:tc>
          <w:tcPr>
            <w:tcW w:w="3096" w:type="dxa"/>
            <w:vAlign w:val="center"/>
          </w:tcPr>
          <w:p w14:paraId="3EDE0C78" w14:textId="77777777" w:rsidR="009F1312" w:rsidRDefault="009F1312" w:rsidP="00D54296">
            <w:pPr>
              <w:jc w:val="center"/>
            </w:pPr>
            <w:r>
              <w:t>+6</w:t>
            </w:r>
          </w:p>
        </w:tc>
        <w:tc>
          <w:tcPr>
            <w:tcW w:w="3096" w:type="dxa"/>
            <w:vAlign w:val="center"/>
          </w:tcPr>
          <w:p w14:paraId="6791328E" w14:textId="77777777" w:rsidR="009F1312" w:rsidRDefault="009F1312" w:rsidP="00D54296">
            <w:pPr>
              <w:jc w:val="center"/>
            </w:pPr>
            <w:r>
              <w:t>14.56%</w:t>
            </w:r>
          </w:p>
        </w:tc>
      </w:tr>
      <w:tr w:rsidR="009F1312" w14:paraId="498DF1DB" w14:textId="77777777" w:rsidTr="00D54296">
        <w:trPr>
          <w:jc w:val="center"/>
        </w:trPr>
        <w:tc>
          <w:tcPr>
            <w:tcW w:w="3096" w:type="dxa"/>
            <w:vAlign w:val="center"/>
          </w:tcPr>
          <w:p w14:paraId="5B448463" w14:textId="77777777" w:rsidR="009F1312" w:rsidRDefault="009F1312" w:rsidP="00D54296">
            <w:pPr>
              <w:jc w:val="center"/>
            </w:pPr>
            <w:r>
              <w:t>+7</w:t>
            </w:r>
          </w:p>
        </w:tc>
        <w:tc>
          <w:tcPr>
            <w:tcW w:w="3096" w:type="dxa"/>
            <w:vAlign w:val="center"/>
          </w:tcPr>
          <w:p w14:paraId="6E979DCF" w14:textId="77777777" w:rsidR="009F1312" w:rsidRDefault="009F1312" w:rsidP="00D54296">
            <w:pPr>
              <w:jc w:val="center"/>
            </w:pPr>
            <w:r>
              <w:t>14.41%</w:t>
            </w:r>
          </w:p>
        </w:tc>
      </w:tr>
      <w:tr w:rsidR="009F1312" w14:paraId="68127223" w14:textId="77777777" w:rsidTr="00D54296">
        <w:trPr>
          <w:jc w:val="center"/>
        </w:trPr>
        <w:tc>
          <w:tcPr>
            <w:tcW w:w="3096" w:type="dxa"/>
            <w:vAlign w:val="center"/>
          </w:tcPr>
          <w:p w14:paraId="65842883" w14:textId="77777777" w:rsidR="009F1312" w:rsidRDefault="009F1312" w:rsidP="00D54296">
            <w:pPr>
              <w:jc w:val="center"/>
            </w:pPr>
            <w:r>
              <w:t>+8</w:t>
            </w:r>
          </w:p>
        </w:tc>
        <w:tc>
          <w:tcPr>
            <w:tcW w:w="3096" w:type="dxa"/>
            <w:vAlign w:val="center"/>
          </w:tcPr>
          <w:p w14:paraId="1A130E25" w14:textId="77777777" w:rsidR="009F1312" w:rsidRDefault="009F1312" w:rsidP="00D54296">
            <w:pPr>
              <w:jc w:val="center"/>
            </w:pPr>
            <w:r>
              <w:t>14.26%</w:t>
            </w:r>
          </w:p>
        </w:tc>
      </w:tr>
      <w:tr w:rsidR="009F1312" w14:paraId="38D3AB45" w14:textId="77777777" w:rsidTr="00D54296">
        <w:trPr>
          <w:jc w:val="center"/>
        </w:trPr>
        <w:tc>
          <w:tcPr>
            <w:tcW w:w="3096" w:type="dxa"/>
            <w:vAlign w:val="center"/>
          </w:tcPr>
          <w:p w14:paraId="26B19A9C" w14:textId="77777777" w:rsidR="009F1312" w:rsidRDefault="009F1312" w:rsidP="00D54296">
            <w:pPr>
              <w:jc w:val="center"/>
            </w:pPr>
            <w:r>
              <w:t>+9</w:t>
            </w:r>
          </w:p>
        </w:tc>
        <w:tc>
          <w:tcPr>
            <w:tcW w:w="3096" w:type="dxa"/>
            <w:vAlign w:val="center"/>
          </w:tcPr>
          <w:p w14:paraId="068509BF" w14:textId="77777777" w:rsidR="009F1312" w:rsidRDefault="009F1312" w:rsidP="00D54296">
            <w:pPr>
              <w:jc w:val="center"/>
            </w:pPr>
            <w:r>
              <w:t>14.11%</w:t>
            </w:r>
          </w:p>
        </w:tc>
      </w:tr>
      <w:tr w:rsidR="009F1312" w14:paraId="1E4FFF6F" w14:textId="77777777" w:rsidTr="00D54296">
        <w:trPr>
          <w:jc w:val="center"/>
        </w:trPr>
        <w:tc>
          <w:tcPr>
            <w:tcW w:w="3096" w:type="dxa"/>
            <w:vAlign w:val="center"/>
          </w:tcPr>
          <w:p w14:paraId="2B5E4977" w14:textId="77777777" w:rsidR="009F1312" w:rsidRDefault="009F1312" w:rsidP="00D54296">
            <w:pPr>
              <w:jc w:val="center"/>
            </w:pPr>
            <w:r>
              <w:t>+10</w:t>
            </w:r>
          </w:p>
        </w:tc>
        <w:tc>
          <w:tcPr>
            <w:tcW w:w="3096" w:type="dxa"/>
            <w:vAlign w:val="center"/>
          </w:tcPr>
          <w:p w14:paraId="5B351413" w14:textId="77777777" w:rsidR="009F1312" w:rsidRDefault="009F1312" w:rsidP="00D54296">
            <w:pPr>
              <w:jc w:val="center"/>
            </w:pPr>
            <w:r>
              <w:t>13.96%</w:t>
            </w:r>
          </w:p>
        </w:tc>
      </w:tr>
    </w:tbl>
    <w:p w14:paraId="7E0719B1" w14:textId="77777777" w:rsidR="009F1312" w:rsidRDefault="009F1312" w:rsidP="009F1312">
      <w:pPr>
        <w:pStyle w:val="Prrafodelista"/>
        <w:numPr>
          <w:ilvl w:val="0"/>
          <w:numId w:val="2"/>
        </w:numPr>
        <w:jc w:val="both"/>
      </w:pPr>
      <w:r>
        <w:t>What investment strategy would you follow if the market price of Tsingtao shares was 10.10 CY. How would you explain the difference?</w:t>
      </w:r>
    </w:p>
    <w:p w14:paraId="7171895E" w14:textId="2AC0D770" w:rsidR="009F1312" w:rsidRDefault="009F1312" w:rsidP="009F1312">
      <w:pPr>
        <w:spacing w:after="0" w:line="360" w:lineRule="auto"/>
        <w:jc w:val="both"/>
      </w:pPr>
      <w:r>
        <w:rPr>
          <w:noProof/>
        </w:rPr>
        <w:pict w14:anchorId="1145B070">
          <v:shapetype id="_x0000_t202" coordsize="21600,21600" o:spt="202" path="m,l,21600r21600,l21600,xe">
            <v:stroke joinstyle="miter"/>
            <v:path gradientshapeok="t" o:connecttype="rect"/>
          </v:shapetype>
          <v:shape id="Text Box 9" o:spid="_x0000_s1026" type="#_x0000_t202" style="position:absolute;left:0;text-align:left;margin-left:248.25pt;margin-top:135.7pt;width:257.9pt;height:48.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" fillcolor="white [3201]" strokeweight=".5pt">
            <v:textbox>
              <w:txbxContent>
                <w:p w14:paraId="04C2CE95" w14:textId="77777777" w:rsidR="009F1312" w:rsidRDefault="009F1312" w:rsidP="009F1312">
                  <w:pPr>
                    <w:jc w:val="center"/>
                  </w:pPr>
                  <m:oMathPara>
                    <m:oMath>
                      <m:r>
                        <w:rPr>
                          <w:rFonts w:ascii="Cambria Math" w:hAnsi="Cambria Math"/>
                        </w:rPr>
                        <m:t>=</m:t>
                      </m:r>
                      <m:sSub>
                        <m:sSubPr>
                          <m:ctrlPr>
                            <w:rPr>
                              <w:rFonts w:ascii="Cambria Math" w:hAnsi="Cambria Math"/>
                              <w:i/>
                            </w:rPr>
                          </m:ctrlPr>
                        </m:sSubPr>
                        <m:e>
                          <m:r>
                            <w:rPr>
                              <w:rFonts w:ascii="Cambria Math" w:hAnsi="Cambria Math"/>
                            </w:rPr>
                            <m:t>MV</m:t>
                          </m:r>
                        </m:e>
                        <m:sub>
                          <m:r>
                            <w:rPr>
                              <w:rFonts w:ascii="Cambria Math" w:hAnsi="Cambria Math"/>
                            </w:rPr>
                            <m:t>E</m:t>
                          </m:r>
                        </m:sub>
                      </m:sSub>
                      <m:r>
                        <w:rPr>
                          <w:rFonts w:ascii="Cambria Math" w:hAnsi="Cambria Math"/>
                        </w:rPr>
                        <m:t xml:space="preserve">=CY6,688.23 or </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6,688.23</m:t>
                          </m:r>
                        </m:num>
                        <m:den>
                          <m:r>
                            <w:rPr>
                              <w:rFonts w:ascii="Cambria Math" w:hAnsi="Cambria Math"/>
                            </w:rPr>
                            <m:t>653.15</m:t>
                          </m:r>
                        </m:den>
                      </m:f>
                      <m:r>
                        <w:rPr>
                          <w:rFonts w:ascii="Cambria Math" w:hAnsi="Cambria Math"/>
                        </w:rPr>
                        <m:t>=CY9.98</m:t>
                      </m:r>
                    </m:oMath>
                  </m:oMathPara>
                </w:p>
              </w:txbxContent>
            </v:textbox>
          </v:shape>
        </w:pict>
      </w:r>
      <w:r w:rsidRPr="005A3A18">
        <w:rPr>
          <w:noProof/>
        </w:rPr>
        <w:drawing>
          <wp:inline distT="0" distB="0" distL="0" distR="0" wp14:anchorId="69CC4CCF" wp14:editId="5DAB8FA4">
            <wp:extent cx="5572125" cy="2313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14080"/>
                    <a:stretch/>
                  </pic:blipFill>
                  <pic:spPr bwMode="auto">
                    <a:xfrm>
                      <a:off x="0" y="0"/>
                      <a:ext cx="5572125" cy="2313005"/>
                    </a:xfrm>
                    <a:prstGeom prst="rect">
                      <a:avLst/>
                    </a:prstGeom>
                    <a:noFill/>
                    <a:ln>
                      <a:noFill/>
                    </a:ln>
                    <a:extLst>
                      <a:ext uri="{53640926-AAD7-44D8-BBD7-CCE9431645EC}">
                        <a14:shadowObscured xmlns:a14="http://schemas.microsoft.com/office/drawing/2010/main"/>
                      </a:ext>
                    </a:extLst>
                  </pic:spPr>
                </pic:pic>
              </a:graphicData>
            </a:graphic>
          </wp:inline>
        </w:drawing>
      </w:r>
    </w:p>
    <w:p w14:paraId="2BAFD4E9" w14:textId="77777777" w:rsidR="009F1312" w:rsidRDefault="009F1312" w:rsidP="009F1312">
      <w:pPr>
        <w:jc w:val="both"/>
      </w:pPr>
      <w:r w:rsidRPr="00FA73C5">
        <w:t xml:space="preserve">The market price is </w:t>
      </w:r>
      <w:r>
        <w:t>slightly</w:t>
      </w:r>
      <w:r w:rsidRPr="00FA73C5">
        <w:t xml:space="preserve"> inflated and, therefore, you should </w:t>
      </w:r>
      <w:r>
        <w:t xml:space="preserve">rather </w:t>
      </w:r>
      <w:r w:rsidRPr="00FA73C5">
        <w:t xml:space="preserve">short sell, </w:t>
      </w:r>
      <w:r>
        <w:t>since you should expect it to fa</w:t>
      </w:r>
      <w:r w:rsidRPr="00FA73C5">
        <w:t>ll.</w:t>
      </w:r>
      <w:r>
        <w:t xml:space="preserve"> The difference might depend on different normalized investments or reinvestment rates, as well as on the existence of the second (transition) stage. In case it is ignored, high growth applies in the following years and therefore, the price should be higher.</w:t>
      </w:r>
    </w:p>
    <w:p w14:paraId="0D65F7E5" w14:textId="77777777" w:rsidR="009D33FF" w:rsidRDefault="009D33FF"/>
    <w:sectPr w:rsidR="009D33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33233"/>
    <w:multiLevelType w:val="hybridMultilevel"/>
    <w:tmpl w:val="317024E8"/>
    <w:lvl w:ilvl="0" w:tplc="4C222756">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0E77B2C"/>
    <w:multiLevelType w:val="hybridMultilevel"/>
    <w:tmpl w:val="FE58202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1850149">
    <w:abstractNumId w:val="1"/>
  </w:num>
  <w:num w:numId="2" w16cid:durableId="1240939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93BE7"/>
    <w:rsid w:val="00093BE7"/>
    <w:rsid w:val="00261F71"/>
    <w:rsid w:val="00340C28"/>
    <w:rsid w:val="00421DEB"/>
    <w:rsid w:val="007A6BCE"/>
    <w:rsid w:val="009D33FF"/>
    <w:rsid w:val="009E693C"/>
    <w:rsid w:val="009F1312"/>
    <w:rsid w:val="00B15C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FF4C8A6"/>
  <w15:chartTrackingRefBased/>
  <w15:docId w15:val="{49A9BC5C-7AB0-44B8-BDB9-5F5EADF37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3FF"/>
    <w:pPr>
      <w:spacing w:after="200" w:line="276" w:lineRule="auto"/>
    </w:pPr>
    <w:rPr>
      <w:rFonts w:eastAsiaTheme="minorEastAsia"/>
      <w:kern w:val="0"/>
      <w:lang w:val="en-GB" w:eastAsia="en-GB"/>
    </w:rPr>
  </w:style>
  <w:style w:type="paragraph" w:styleId="Ttulo1">
    <w:name w:val="heading 1"/>
    <w:basedOn w:val="Normal"/>
    <w:next w:val="Normal"/>
    <w:link w:val="Ttulo1Car"/>
    <w:uiPriority w:val="9"/>
    <w:qFormat/>
    <w:rsid w:val="00093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3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3B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3B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3B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3B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3B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3B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3B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3B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3B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3B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3B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3B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3B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3B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3B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3BE7"/>
    <w:rPr>
      <w:rFonts w:eastAsiaTheme="majorEastAsia" w:cstheme="majorBidi"/>
      <w:color w:val="272727" w:themeColor="text1" w:themeTint="D8"/>
    </w:rPr>
  </w:style>
  <w:style w:type="paragraph" w:styleId="Ttulo">
    <w:name w:val="Title"/>
    <w:basedOn w:val="Normal"/>
    <w:next w:val="Normal"/>
    <w:link w:val="TtuloCar"/>
    <w:uiPriority w:val="10"/>
    <w:qFormat/>
    <w:rsid w:val="00093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3B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3B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3B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3BE7"/>
    <w:pPr>
      <w:spacing w:before="160"/>
      <w:jc w:val="center"/>
    </w:pPr>
    <w:rPr>
      <w:i/>
      <w:iCs/>
      <w:color w:val="404040" w:themeColor="text1" w:themeTint="BF"/>
    </w:rPr>
  </w:style>
  <w:style w:type="character" w:customStyle="1" w:styleId="CitaCar">
    <w:name w:val="Cita Car"/>
    <w:basedOn w:val="Fuentedeprrafopredeter"/>
    <w:link w:val="Cita"/>
    <w:uiPriority w:val="29"/>
    <w:rsid w:val="00093BE7"/>
    <w:rPr>
      <w:i/>
      <w:iCs/>
      <w:color w:val="404040" w:themeColor="text1" w:themeTint="BF"/>
    </w:rPr>
  </w:style>
  <w:style w:type="paragraph" w:styleId="Prrafodelista">
    <w:name w:val="List Paragraph"/>
    <w:basedOn w:val="Normal"/>
    <w:uiPriority w:val="34"/>
    <w:qFormat/>
    <w:rsid w:val="00093BE7"/>
    <w:pPr>
      <w:ind w:left="720"/>
      <w:contextualSpacing/>
    </w:pPr>
  </w:style>
  <w:style w:type="character" w:styleId="nfasisintenso">
    <w:name w:val="Intense Emphasis"/>
    <w:basedOn w:val="Fuentedeprrafopredeter"/>
    <w:uiPriority w:val="21"/>
    <w:qFormat/>
    <w:rsid w:val="00093BE7"/>
    <w:rPr>
      <w:i/>
      <w:iCs/>
      <w:color w:val="0F4761" w:themeColor="accent1" w:themeShade="BF"/>
    </w:rPr>
  </w:style>
  <w:style w:type="paragraph" w:styleId="Citadestacada">
    <w:name w:val="Intense Quote"/>
    <w:basedOn w:val="Normal"/>
    <w:next w:val="Normal"/>
    <w:link w:val="CitadestacadaCar"/>
    <w:uiPriority w:val="30"/>
    <w:qFormat/>
    <w:rsid w:val="00093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3BE7"/>
    <w:rPr>
      <w:i/>
      <w:iCs/>
      <w:color w:val="0F4761" w:themeColor="accent1" w:themeShade="BF"/>
    </w:rPr>
  </w:style>
  <w:style w:type="character" w:styleId="Referenciaintensa">
    <w:name w:val="Intense Reference"/>
    <w:basedOn w:val="Fuentedeprrafopredeter"/>
    <w:uiPriority w:val="32"/>
    <w:qFormat/>
    <w:rsid w:val="00093BE7"/>
    <w:rPr>
      <w:b/>
      <w:bCs/>
      <w:smallCaps/>
      <w:color w:val="0F4761" w:themeColor="accent1" w:themeShade="BF"/>
      <w:spacing w:val="5"/>
    </w:rPr>
  </w:style>
  <w:style w:type="table" w:styleId="Tablaconcuadrcula">
    <w:name w:val="Table Grid"/>
    <w:basedOn w:val="Tablanormal"/>
    <w:uiPriority w:val="59"/>
    <w:rsid w:val="009F1312"/>
    <w:pPr>
      <w:spacing w:after="0" w:line="240" w:lineRule="auto"/>
    </w:pPr>
    <w:rPr>
      <w:rFonts w:eastAsiaTheme="minorEastAsia"/>
      <w:kern w:val="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wmf"/><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0.bin"/><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10" Type="http://schemas.openxmlformats.org/officeDocument/2006/relationships/oleObject" Target="embeddings/oleObject3.bin"/><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1202</Words>
  <Characters>6617</Characters>
  <Application>Microsoft Office Word</Application>
  <DocSecurity>0</DocSecurity>
  <Lines>55</Lines>
  <Paragraphs>15</Paragraphs>
  <ScaleCrop>false</ScaleCrop>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HINCAPIE MARTINEZ Juan</dc:creator>
  <cp:keywords/>
  <dc:description/>
  <cp:lastModifiedBy>HINCAPIE MARTINEZ Juan</cp:lastModifiedBy>
  <cp:revision>3</cp:revision>
  <dcterms:created xsi:type="dcterms:W3CDTF">2026-10-27T02:16:00Z</dcterms:created>
  <dcterms:modified xsi:type="dcterms:W3CDTF">2026-10-27T02:17:00Z</dcterms:modified>
</cp:coreProperties>
</file>