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40A4" w:rsidRPr="00A640A4" w:rsidRDefault="00A640A4" w:rsidP="00C408FC">
      <w:pPr>
        <w:jc w:val="center"/>
        <w:rPr>
          <w:b/>
          <w:sz w:val="32"/>
        </w:rPr>
      </w:pPr>
      <w:r w:rsidRPr="00A640A4">
        <w:rPr>
          <w:b/>
          <w:sz w:val="32"/>
        </w:rPr>
        <w:t>Twitter</w:t>
      </w:r>
    </w:p>
    <w:p w:rsidR="008D1C1E" w:rsidRPr="00A640A4" w:rsidRDefault="00A640A4" w:rsidP="00C408FC">
      <w:pPr>
        <w:jc w:val="center"/>
        <w:rPr>
          <w:b/>
          <w:sz w:val="32"/>
        </w:rPr>
      </w:pPr>
      <w:r w:rsidRPr="00A640A4">
        <w:rPr>
          <w:b/>
          <w:sz w:val="32"/>
        </w:rPr>
        <w:t>IPO and current Price</w:t>
      </w:r>
    </w:p>
    <w:p w:rsidR="00C408FC" w:rsidRDefault="00C408FC" w:rsidP="00EB533D">
      <w:pPr>
        <w:jc w:val="center"/>
      </w:pPr>
    </w:p>
    <w:p w:rsidR="00A640A4" w:rsidRDefault="00A640A4" w:rsidP="00C408FC">
      <w:pPr>
        <w:jc w:val="both"/>
      </w:pPr>
      <w:r>
        <w:t xml:space="preserve">Twitter has been covered widely in the news </w:t>
      </w:r>
      <w:r w:rsidR="00C408FC">
        <w:t xml:space="preserve">due </w:t>
      </w:r>
      <w:r>
        <w:t>to extreme fluctuations in its share price after it</w:t>
      </w:r>
      <w:r w:rsidR="00C408FC">
        <w:t>s</w:t>
      </w:r>
      <w:r>
        <w:t xml:space="preserve"> Initial Public Offering (IPO) in November 2013.</w:t>
      </w:r>
    </w:p>
    <w:p w:rsidR="00A640A4" w:rsidRDefault="00A640A4" w:rsidP="00C408FC">
      <w:pPr>
        <w:jc w:val="both"/>
      </w:pPr>
      <w:hyperlink r:id="rId11" w:history="1">
        <w:r w:rsidRPr="00AE5FE5">
          <w:rPr>
            <w:rStyle w:val="Hipervnculo"/>
          </w:rPr>
          <w:t>http://www.telegraph.co.uk/technology/twitter/10432396/Twitter-IPO-as-it-happened.html</w:t>
        </w:r>
      </w:hyperlink>
    </w:p>
    <w:p w:rsidR="00A640A4" w:rsidRDefault="00A640A4" w:rsidP="00C408FC">
      <w:pPr>
        <w:jc w:val="both"/>
      </w:pPr>
      <w:r>
        <w:t>The starting price was set at $26 and it soared in a day up to around $46. The maximum price ever was $73.31 (26/12/2013).</w:t>
      </w:r>
    </w:p>
    <w:p w:rsidR="00A640A4" w:rsidRDefault="00A640A4" w:rsidP="00C408FC">
      <w:pPr>
        <w:jc w:val="both"/>
      </w:pPr>
      <w:r>
        <w:t xml:space="preserve"> </w:t>
      </w:r>
      <w:hyperlink r:id="rId12" w:history="1">
        <w:r w:rsidRPr="00AE5FE5">
          <w:rPr>
            <w:rStyle w:val="Hipervnculo"/>
          </w:rPr>
          <w:t>http://www.nasdaq.com/symbol/twtr/interactive-chart</w:t>
        </w:r>
      </w:hyperlink>
      <w:r>
        <w:t xml:space="preserve"> </w:t>
      </w:r>
    </w:p>
    <w:p w:rsidR="00A640A4" w:rsidRDefault="00A640A4" w:rsidP="00C408FC">
      <w:pPr>
        <w:jc w:val="both"/>
      </w:pPr>
      <w:r>
        <w:t>Recently</w:t>
      </w:r>
      <w:r w:rsidR="00B73FEA">
        <w:t xml:space="preserve"> (2014)</w:t>
      </w:r>
      <w:r>
        <w:t xml:space="preserve">, it decreased sharply </w:t>
      </w:r>
      <w:r w:rsidR="00C5324D">
        <w:t xml:space="preserve">(down to around $50) </w:t>
      </w:r>
      <w:r>
        <w:t xml:space="preserve">after a below expectations earnings announcement. </w:t>
      </w:r>
    </w:p>
    <w:p w:rsidR="00A640A4" w:rsidRDefault="00A640A4" w:rsidP="00C408FC">
      <w:pPr>
        <w:jc w:val="both"/>
      </w:pPr>
      <w:hyperlink r:id="rId13" w:history="1">
        <w:r w:rsidRPr="00AE5FE5">
          <w:rPr>
            <w:rStyle w:val="Hipervnculo"/>
          </w:rPr>
          <w:t>http://nypost.com/2014/02/06/twitter-shares-fall-23-on-first-earnings-report/</w:t>
        </w:r>
      </w:hyperlink>
    </w:p>
    <w:p w:rsidR="00A640A4" w:rsidRDefault="00C5324D" w:rsidP="00C408FC">
      <w:pPr>
        <w:jc w:val="both"/>
      </w:pPr>
      <w:r>
        <w:t>Twitter’s CEO has argued that growth in users count will be observed, but not immediately.</w:t>
      </w:r>
    </w:p>
    <w:p w:rsidR="00C5324D" w:rsidRDefault="00C5324D" w:rsidP="00C408FC">
      <w:pPr>
        <w:jc w:val="both"/>
      </w:pPr>
      <w:hyperlink r:id="rId14" w:history="1">
        <w:r w:rsidRPr="00AE5FE5">
          <w:rPr>
            <w:rStyle w:val="Hipervnculo"/>
          </w:rPr>
          <w:t>http://www.zdnet.com/twitter-ceo-promises-user-count-growth-in-2014-but-not-all-overnight-7000026320/</w:t>
        </w:r>
      </w:hyperlink>
    </w:p>
    <w:p w:rsidR="001324D5" w:rsidRDefault="001324D5" w:rsidP="00C408FC">
      <w:pPr>
        <w:jc w:val="both"/>
      </w:pPr>
      <w:r>
        <w:t>Let s try to evaluate a fair estimate of Twitter’s equity (price per share) currently, as well as when it went public. For this purpose we will use data taken from:</w:t>
      </w:r>
    </w:p>
    <w:p w:rsidR="001324D5" w:rsidRDefault="001324D5" w:rsidP="00C408FC">
      <w:pPr>
        <w:pStyle w:val="Prrafodelista"/>
        <w:numPr>
          <w:ilvl w:val="0"/>
          <w:numId w:val="2"/>
        </w:numPr>
        <w:jc w:val="both"/>
      </w:pPr>
      <w:r>
        <w:t>Twitter’s Annual Report</w:t>
      </w:r>
    </w:p>
    <w:p w:rsidR="001324D5" w:rsidRDefault="001324D5" w:rsidP="00C408FC">
      <w:pPr>
        <w:pStyle w:val="Prrafodelista"/>
        <w:numPr>
          <w:ilvl w:val="1"/>
          <w:numId w:val="2"/>
        </w:numPr>
        <w:jc w:val="both"/>
      </w:pPr>
      <w:hyperlink r:id="rId15" w:history="1">
        <w:r w:rsidRPr="00AE5FE5">
          <w:rPr>
            <w:rStyle w:val="Hipervnculo"/>
          </w:rPr>
          <w:t>https://investor.twitterinc.com/</w:t>
        </w:r>
      </w:hyperlink>
      <w:r>
        <w:t xml:space="preserve"> </w:t>
      </w:r>
    </w:p>
    <w:p w:rsidR="001324D5" w:rsidRDefault="001324D5" w:rsidP="00C408FC">
      <w:pPr>
        <w:pStyle w:val="Prrafodelista"/>
        <w:numPr>
          <w:ilvl w:val="1"/>
          <w:numId w:val="2"/>
        </w:numPr>
        <w:jc w:val="both"/>
      </w:pPr>
      <w:hyperlink r:id="rId16" w:history="1">
        <w:r w:rsidRPr="00AE5FE5">
          <w:rPr>
            <w:rStyle w:val="Hipervnculo"/>
          </w:rPr>
          <w:t>https://investor.twitterinc.com/releasedetail.cfm?ReleaseID=823321</w:t>
        </w:r>
      </w:hyperlink>
    </w:p>
    <w:p w:rsidR="00C408FC" w:rsidRDefault="00C408FC" w:rsidP="00C408FC">
      <w:pPr>
        <w:pStyle w:val="Prrafodelista"/>
        <w:numPr>
          <w:ilvl w:val="1"/>
          <w:numId w:val="2"/>
        </w:numPr>
        <w:jc w:val="both"/>
      </w:pPr>
      <w:hyperlink r:id="rId17" w:history="1">
        <w:r w:rsidRPr="00AE5FE5">
          <w:rPr>
            <w:rStyle w:val="Hipervnculo"/>
          </w:rPr>
          <w:t>http://mashable.com/2013/10/29/linkedin-q3-earnings/</w:t>
        </w:r>
      </w:hyperlink>
      <w:r>
        <w:t xml:space="preserve"> </w:t>
      </w:r>
    </w:p>
    <w:p w:rsidR="001324D5" w:rsidRDefault="001324D5" w:rsidP="00C408FC">
      <w:pPr>
        <w:pStyle w:val="Prrafodelista"/>
        <w:numPr>
          <w:ilvl w:val="0"/>
          <w:numId w:val="2"/>
        </w:numPr>
        <w:jc w:val="both"/>
      </w:pPr>
      <w:r>
        <w:t>Twitter and its main listed competitors’, Facebook and Linkedin, data from Nasdaq</w:t>
      </w:r>
    </w:p>
    <w:p w:rsidR="00C408FC" w:rsidRDefault="00C408FC" w:rsidP="00C408FC">
      <w:pPr>
        <w:pStyle w:val="Prrafodelista"/>
        <w:numPr>
          <w:ilvl w:val="1"/>
          <w:numId w:val="2"/>
        </w:numPr>
        <w:jc w:val="both"/>
      </w:pPr>
      <w:hyperlink r:id="rId18" w:history="1">
        <w:r w:rsidRPr="00AE5FE5">
          <w:rPr>
            <w:rStyle w:val="Hipervnculo"/>
          </w:rPr>
          <w:t>http://investor.fb.com/secfiling.cfm?filingid=1326801-13-3</w:t>
        </w:r>
      </w:hyperlink>
      <w:r>
        <w:t xml:space="preserve"> </w:t>
      </w:r>
    </w:p>
    <w:p w:rsidR="00C408FC" w:rsidRDefault="00C408FC" w:rsidP="00C408FC">
      <w:pPr>
        <w:pStyle w:val="Prrafodelista"/>
        <w:numPr>
          <w:ilvl w:val="1"/>
          <w:numId w:val="2"/>
        </w:numPr>
        <w:jc w:val="both"/>
      </w:pPr>
      <w:hyperlink r:id="rId19" w:history="1">
        <w:r w:rsidRPr="00AE5FE5">
          <w:rPr>
            <w:rStyle w:val="Hipervnculo"/>
          </w:rPr>
          <w:t>http://ycharts.com/financials/FB/income_statement/quarterly</w:t>
        </w:r>
      </w:hyperlink>
      <w:r>
        <w:t xml:space="preserve"> </w:t>
      </w:r>
    </w:p>
    <w:p w:rsidR="001324D5" w:rsidRDefault="001324D5" w:rsidP="00C408FC">
      <w:pPr>
        <w:pStyle w:val="Prrafodelista"/>
        <w:numPr>
          <w:ilvl w:val="1"/>
          <w:numId w:val="2"/>
        </w:numPr>
        <w:jc w:val="both"/>
      </w:pPr>
      <w:hyperlink r:id="rId20" w:history="1">
        <w:r w:rsidRPr="00AE5FE5">
          <w:rPr>
            <w:rStyle w:val="Hipervnculo"/>
          </w:rPr>
          <w:t>http://www.nasdaq.com/symbol/fb/interactive-chart</w:t>
        </w:r>
      </w:hyperlink>
    </w:p>
    <w:p w:rsidR="001324D5" w:rsidRDefault="001324D5" w:rsidP="00C408FC">
      <w:pPr>
        <w:pStyle w:val="Prrafodelista"/>
        <w:numPr>
          <w:ilvl w:val="1"/>
          <w:numId w:val="2"/>
        </w:numPr>
        <w:jc w:val="both"/>
      </w:pPr>
      <w:hyperlink r:id="rId21" w:history="1">
        <w:r w:rsidRPr="00AE5FE5">
          <w:rPr>
            <w:rStyle w:val="Hipervnculo"/>
          </w:rPr>
          <w:t>http://www.nasdaq.com/symbol/lnkd/interactive-chart</w:t>
        </w:r>
      </w:hyperlink>
    </w:p>
    <w:p w:rsidR="001324D5" w:rsidRDefault="001324D5" w:rsidP="00C408FC">
      <w:pPr>
        <w:pStyle w:val="Prrafodelista"/>
        <w:numPr>
          <w:ilvl w:val="1"/>
          <w:numId w:val="2"/>
        </w:numPr>
        <w:jc w:val="both"/>
      </w:pPr>
      <w:hyperlink r:id="rId22" w:history="1">
        <w:r w:rsidRPr="00AE5FE5">
          <w:rPr>
            <w:rStyle w:val="Hipervnculo"/>
          </w:rPr>
          <w:t>http://www.nasdaq.com/symbol/twtr/interactive-chart</w:t>
        </w:r>
      </w:hyperlink>
      <w:r>
        <w:t xml:space="preserve"> </w:t>
      </w:r>
    </w:p>
    <w:p w:rsidR="001324D5" w:rsidRDefault="001324D5" w:rsidP="00C408FC">
      <w:pPr>
        <w:pStyle w:val="Prrafodelista"/>
        <w:numPr>
          <w:ilvl w:val="0"/>
          <w:numId w:val="2"/>
        </w:numPr>
        <w:jc w:val="both"/>
      </w:pPr>
      <w:r>
        <w:t xml:space="preserve">Further information for social networking is taken from </w:t>
      </w:r>
    </w:p>
    <w:p w:rsidR="001324D5" w:rsidRDefault="001324D5" w:rsidP="00C408FC">
      <w:pPr>
        <w:pStyle w:val="Prrafodelista"/>
        <w:numPr>
          <w:ilvl w:val="1"/>
          <w:numId w:val="2"/>
        </w:numPr>
        <w:jc w:val="both"/>
      </w:pPr>
      <w:hyperlink r:id="rId23" w:history="1">
        <w:r w:rsidRPr="00AE5FE5">
          <w:rPr>
            <w:rStyle w:val="Hipervnculo"/>
          </w:rPr>
          <w:t>http://www.pewinternet.org/2013/02/14/social-networking-site-users/</w:t>
        </w:r>
      </w:hyperlink>
      <w:r>
        <w:t xml:space="preserve"> </w:t>
      </w:r>
    </w:p>
    <w:p w:rsidR="001324D5" w:rsidRDefault="00C408FC" w:rsidP="00C408FC">
      <w:pPr>
        <w:pStyle w:val="Prrafodelista"/>
        <w:numPr>
          <w:ilvl w:val="0"/>
          <w:numId w:val="2"/>
        </w:numPr>
        <w:jc w:val="both"/>
      </w:pPr>
      <w:r>
        <w:t>Industry averages are taken from this file</w:t>
      </w:r>
    </w:p>
    <w:bookmarkStart w:id="0" w:name="_MON_1677251113"/>
    <w:bookmarkEnd w:id="0"/>
    <w:p w:rsidR="00A640A4" w:rsidRDefault="001A137C" w:rsidP="00C408FC">
      <w:pPr>
        <w:pStyle w:val="Prrafodelista"/>
        <w:numPr>
          <w:ilvl w:val="1"/>
          <w:numId w:val="2"/>
        </w:numPr>
        <w:jc w:val="both"/>
      </w:pPr>
      <w:r>
        <w:object w:dxaOrig="1469" w:dyaOrig="950" w14:anchorId="19220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6.25pt" o:ole="">
            <v:imagedata r:id="rId24" o:title=""/>
          </v:shape>
          <o:OLEObject Type="Embed" ProgID="Excel.Sheet.12" ShapeID="_x0000_i1025" DrawAspect="Icon" ObjectID="_1854575656" r:id="rId25"/>
        </w:object>
      </w:r>
    </w:p>
    <w:p w:rsidR="00C408FC" w:rsidRDefault="00C408FC" w:rsidP="00C408FC">
      <w:pPr>
        <w:pStyle w:val="Prrafodelista"/>
        <w:numPr>
          <w:ilvl w:val="0"/>
          <w:numId w:val="2"/>
        </w:numPr>
        <w:jc w:val="both"/>
      </w:pPr>
      <w:r>
        <w:t>Corporate Tax Rates</w:t>
      </w:r>
    </w:p>
    <w:p w:rsidR="00C408FC" w:rsidRDefault="00C408FC" w:rsidP="00C408FC">
      <w:pPr>
        <w:pStyle w:val="Prrafodelista"/>
        <w:numPr>
          <w:ilvl w:val="1"/>
          <w:numId w:val="2"/>
        </w:numPr>
        <w:jc w:val="both"/>
      </w:pPr>
      <w:hyperlink r:id="rId26" w:history="1">
        <w:r w:rsidRPr="00AE5FE5">
          <w:rPr>
            <w:rStyle w:val="Hipervnculo"/>
          </w:rPr>
          <w:t>https://en.wikipedia.org/wiki/Corporate_tax_in_the_United_States</w:t>
        </w:r>
      </w:hyperlink>
      <w:r>
        <w:t xml:space="preserve"> </w:t>
      </w:r>
    </w:p>
    <w:p w:rsidR="00C408FC" w:rsidRPr="00C408FC" w:rsidRDefault="00201BC8" w:rsidP="00C408FC">
      <w:pPr>
        <w:jc w:val="both"/>
        <w:rPr>
          <w:b/>
        </w:rPr>
      </w:pPr>
      <w:r>
        <w:rPr>
          <w:b/>
        </w:rPr>
        <w:t>Valuation March 2014</w:t>
      </w:r>
    </w:p>
    <w:p w:rsidR="00C408FC" w:rsidRDefault="00C408FC" w:rsidP="00C408FC">
      <w:pPr>
        <w:jc w:val="both"/>
      </w:pPr>
      <w:r>
        <w:t xml:space="preserve">Twitter has a very short history of reporting data. Consequently, the available information we can use to formulate expectations or a group of comparable firms is rather limited. This reduces the validity or usability of DCF approach. Also most of the multiples cannot be applied. For example, Twitter is losing money and a P/E ratio cannot be estimated. Neither a Firm Value to Operating Earnings (either before or after Depreciations and Amortizations). We will approach valuation using some more specific multiples, first, and then we will try to formulate some reasonable estimates for DCF estimation. </w:t>
      </w:r>
    </w:p>
    <w:p w:rsidR="00C408FC" w:rsidRPr="00C408FC" w:rsidRDefault="00C408FC" w:rsidP="00C408FC">
      <w:pPr>
        <w:jc w:val="both"/>
        <w:rPr>
          <w:i/>
        </w:rPr>
      </w:pPr>
      <w:r w:rsidRPr="00C408FC">
        <w:rPr>
          <w:i/>
        </w:rPr>
        <w:t>Multiples</w:t>
      </w:r>
    </w:p>
    <w:p w:rsidR="001319A3" w:rsidRDefault="00C408FC" w:rsidP="00C408FC">
      <w:pPr>
        <w:jc w:val="both"/>
      </w:pPr>
      <w:r>
        <w:t xml:space="preserve">The only positive figure on Twitter’s Income statement is Sales. </w:t>
      </w:r>
      <w:r w:rsidR="001319A3">
        <w:t>So, we can use the Price sales ratio. In addition, we will use an industry specific index, referring to Monthly Active Users (MAU). We will construct the Price per MAUs for the three companies. The data we can collect at this point in time can be summarized in the following table.</w:t>
      </w:r>
    </w:p>
    <w:tbl>
      <w:tblPr>
        <w:tblStyle w:val="Tablaconcuadrcula"/>
        <w:tblW w:w="0" w:type="auto"/>
        <w:jc w:val="center"/>
        <w:tblLook w:val="04A0" w:firstRow="1" w:lastRow="0" w:firstColumn="1" w:lastColumn="0" w:noHBand="0" w:noVBand="1"/>
      </w:tblPr>
      <w:tblGrid>
        <w:gridCol w:w="1073"/>
        <w:gridCol w:w="893"/>
        <w:gridCol w:w="1116"/>
        <w:gridCol w:w="1088"/>
        <w:gridCol w:w="1245"/>
        <w:gridCol w:w="1436"/>
        <w:gridCol w:w="2165"/>
      </w:tblGrid>
      <w:tr w:rsidR="000E1C9C" w:rsidTr="000E1C9C">
        <w:trPr>
          <w:trHeight w:val="806"/>
          <w:jc w:val="center"/>
        </w:trPr>
        <w:tc>
          <w:tcPr>
            <w:tcW w:w="0" w:type="auto"/>
            <w:vAlign w:val="center"/>
          </w:tcPr>
          <w:p w:rsidR="000E1C9C" w:rsidRDefault="000E1C9C" w:rsidP="000E1C9C">
            <w:pPr>
              <w:jc w:val="center"/>
            </w:pPr>
            <w:r>
              <w:t>Company</w:t>
            </w:r>
          </w:p>
        </w:tc>
        <w:tc>
          <w:tcPr>
            <w:tcW w:w="0" w:type="auto"/>
            <w:vAlign w:val="center"/>
          </w:tcPr>
          <w:p w:rsidR="000E1C9C" w:rsidRDefault="000E1C9C" w:rsidP="000E1C9C">
            <w:pPr>
              <w:jc w:val="center"/>
            </w:pPr>
            <w:r>
              <w:t>MAU</w:t>
            </w:r>
          </w:p>
        </w:tc>
        <w:tc>
          <w:tcPr>
            <w:tcW w:w="0" w:type="auto"/>
            <w:vAlign w:val="center"/>
          </w:tcPr>
          <w:p w:rsidR="000E1C9C" w:rsidRDefault="000E1C9C" w:rsidP="000E1C9C">
            <w:pPr>
              <w:jc w:val="center"/>
            </w:pPr>
            <w:r>
              <w:t>MCAP</w:t>
            </w:r>
          </w:p>
        </w:tc>
        <w:tc>
          <w:tcPr>
            <w:tcW w:w="0" w:type="auto"/>
            <w:vAlign w:val="center"/>
          </w:tcPr>
          <w:p w:rsidR="000E1C9C" w:rsidRDefault="000E1C9C" w:rsidP="000E1C9C">
            <w:pPr>
              <w:jc w:val="center"/>
            </w:pPr>
            <w:r>
              <w:t>No Shares</w:t>
            </w:r>
          </w:p>
        </w:tc>
        <w:tc>
          <w:tcPr>
            <w:tcW w:w="0" w:type="auto"/>
            <w:vAlign w:val="center"/>
          </w:tcPr>
          <w:p w:rsidR="000E1C9C" w:rsidRDefault="000E1C9C" w:rsidP="000E1C9C">
            <w:pPr>
              <w:jc w:val="center"/>
            </w:pPr>
            <w:r>
              <w:t>Revenue</w:t>
            </w:r>
          </w:p>
        </w:tc>
        <w:tc>
          <w:tcPr>
            <w:tcW w:w="0" w:type="auto"/>
            <w:vAlign w:val="center"/>
          </w:tcPr>
          <w:p w:rsidR="000E1C9C" w:rsidRDefault="000E1C9C" w:rsidP="000E1C9C">
            <w:pPr>
              <w:jc w:val="center"/>
            </w:pPr>
            <w:r>
              <w:t xml:space="preserve">Pre Tax </w:t>
            </w:r>
          </w:p>
          <w:p w:rsidR="000E1C9C" w:rsidRDefault="000E1C9C" w:rsidP="000E1C9C">
            <w:pPr>
              <w:jc w:val="center"/>
            </w:pPr>
            <w:r>
              <w:t>Operating Margin</w:t>
            </w:r>
          </w:p>
        </w:tc>
        <w:tc>
          <w:tcPr>
            <w:tcW w:w="0" w:type="auto"/>
          </w:tcPr>
          <w:p w:rsidR="000E1C9C" w:rsidRDefault="000E1C9C" w:rsidP="000E1C9C">
            <w:pPr>
              <w:jc w:val="center"/>
            </w:pPr>
            <w:r>
              <w:t>Re-investment</w:t>
            </w:r>
          </w:p>
          <w:p w:rsidR="000E1C9C" w:rsidRDefault="000E1C9C" w:rsidP="000E1C9C">
            <w:pPr>
              <w:jc w:val="center"/>
            </w:pPr>
            <w:r>
              <w:t>Needs</w:t>
            </w:r>
          </w:p>
          <w:p w:rsidR="000E1C9C" w:rsidRDefault="000E1C9C" w:rsidP="000E1C9C">
            <w:pPr>
              <w:jc w:val="center"/>
            </w:pPr>
            <w:r>
              <w:t>(Net CapEx+NWC)</w:t>
            </w:r>
            <w:r w:rsidR="00B650C7">
              <w:t xml:space="preserve"> as %</w:t>
            </w:r>
            <w:r w:rsidR="00B650C7">
              <w:rPr>
                <w:lang w:val="el-GR"/>
              </w:rPr>
              <w:t>Δ</w:t>
            </w:r>
            <w:r w:rsidR="00B650C7">
              <w:t>Sales</w:t>
            </w:r>
          </w:p>
        </w:tc>
      </w:tr>
      <w:tr w:rsidR="000E1C9C" w:rsidTr="000E1C9C">
        <w:trPr>
          <w:trHeight w:val="265"/>
          <w:jc w:val="center"/>
        </w:trPr>
        <w:tc>
          <w:tcPr>
            <w:tcW w:w="0" w:type="auto"/>
            <w:vAlign w:val="center"/>
          </w:tcPr>
          <w:p w:rsidR="000E1C9C" w:rsidRDefault="000E1C9C" w:rsidP="000E1C9C">
            <w:pPr>
              <w:jc w:val="center"/>
            </w:pPr>
            <w:r>
              <w:t>Twitter</w:t>
            </w:r>
          </w:p>
        </w:tc>
        <w:tc>
          <w:tcPr>
            <w:tcW w:w="0" w:type="auto"/>
            <w:vAlign w:val="center"/>
          </w:tcPr>
          <w:p w:rsidR="000E1C9C" w:rsidRDefault="000E1C9C" w:rsidP="000E1C9C">
            <w:pPr>
              <w:jc w:val="center"/>
            </w:pPr>
            <w:r>
              <w:t>241m</w:t>
            </w:r>
          </w:p>
        </w:tc>
        <w:tc>
          <w:tcPr>
            <w:tcW w:w="0" w:type="auto"/>
            <w:vAlign w:val="center"/>
          </w:tcPr>
          <w:p w:rsidR="000E1C9C" w:rsidRDefault="000E1C9C" w:rsidP="000E1C9C">
            <w:pPr>
              <w:jc w:val="center"/>
            </w:pPr>
            <w:r>
              <w:t>-</w:t>
            </w:r>
          </w:p>
        </w:tc>
        <w:tc>
          <w:tcPr>
            <w:tcW w:w="0" w:type="auto"/>
            <w:vAlign w:val="center"/>
          </w:tcPr>
          <w:p w:rsidR="000E1C9C" w:rsidRDefault="000E1C9C" w:rsidP="000E1C9C">
            <w:pPr>
              <w:jc w:val="center"/>
            </w:pPr>
            <w:r>
              <w:t>242m</w:t>
            </w:r>
          </w:p>
        </w:tc>
        <w:tc>
          <w:tcPr>
            <w:tcW w:w="0" w:type="auto"/>
            <w:vAlign w:val="center"/>
          </w:tcPr>
          <w:p w:rsidR="000E1C9C" w:rsidRDefault="000E1C9C" w:rsidP="000E1C9C">
            <w:pPr>
              <w:jc w:val="center"/>
            </w:pPr>
            <w:r>
              <w:t>664.89m</w:t>
            </w:r>
          </w:p>
        </w:tc>
        <w:tc>
          <w:tcPr>
            <w:tcW w:w="0" w:type="auto"/>
            <w:vAlign w:val="center"/>
          </w:tcPr>
          <w:p w:rsidR="000E1C9C" w:rsidRDefault="000E1C9C" w:rsidP="000E1C9C">
            <w:pPr>
              <w:jc w:val="center"/>
            </w:pPr>
            <w:r>
              <w:t>-</w:t>
            </w:r>
          </w:p>
        </w:tc>
        <w:tc>
          <w:tcPr>
            <w:tcW w:w="0" w:type="auto"/>
          </w:tcPr>
          <w:p w:rsidR="000E1C9C" w:rsidRDefault="000E1C9C" w:rsidP="000E1C9C">
            <w:pPr>
              <w:jc w:val="center"/>
            </w:pPr>
            <w:r>
              <w:t>-</w:t>
            </w:r>
          </w:p>
        </w:tc>
      </w:tr>
      <w:tr w:rsidR="000E1C9C" w:rsidTr="000E1C9C">
        <w:trPr>
          <w:trHeight w:val="265"/>
          <w:jc w:val="center"/>
        </w:trPr>
        <w:tc>
          <w:tcPr>
            <w:tcW w:w="0" w:type="auto"/>
            <w:vAlign w:val="center"/>
          </w:tcPr>
          <w:p w:rsidR="000E1C9C" w:rsidRDefault="000E1C9C" w:rsidP="000E1C9C">
            <w:pPr>
              <w:jc w:val="center"/>
            </w:pPr>
            <w:r>
              <w:t>Facebook</w:t>
            </w:r>
          </w:p>
        </w:tc>
        <w:tc>
          <w:tcPr>
            <w:tcW w:w="0" w:type="auto"/>
            <w:vAlign w:val="center"/>
          </w:tcPr>
          <w:p w:rsidR="000E1C9C" w:rsidRDefault="000E1C9C" w:rsidP="000E1C9C">
            <w:pPr>
              <w:jc w:val="center"/>
            </w:pPr>
            <w:r>
              <w:t>1,060m</w:t>
            </w:r>
          </w:p>
        </w:tc>
        <w:tc>
          <w:tcPr>
            <w:tcW w:w="0" w:type="auto"/>
            <w:vAlign w:val="center"/>
          </w:tcPr>
          <w:p w:rsidR="000E1C9C" w:rsidRDefault="000E1C9C" w:rsidP="000E1C9C">
            <w:pPr>
              <w:jc w:val="center"/>
            </w:pPr>
            <w:r>
              <w:t>$86,718m</w:t>
            </w:r>
          </w:p>
        </w:tc>
        <w:tc>
          <w:tcPr>
            <w:tcW w:w="0" w:type="auto"/>
            <w:vAlign w:val="center"/>
          </w:tcPr>
          <w:p w:rsidR="000E1C9C" w:rsidRDefault="000E1C9C" w:rsidP="000E1C9C">
            <w:pPr>
              <w:jc w:val="center"/>
            </w:pPr>
            <w:r>
              <w:t>1,292.6m</w:t>
            </w:r>
          </w:p>
        </w:tc>
        <w:tc>
          <w:tcPr>
            <w:tcW w:w="0" w:type="auto"/>
            <w:vAlign w:val="center"/>
          </w:tcPr>
          <w:p w:rsidR="000E1C9C" w:rsidRDefault="000E1C9C" w:rsidP="000E1C9C">
            <w:pPr>
              <w:jc w:val="center"/>
            </w:pPr>
            <w:r>
              <w:t>7,872m</w:t>
            </w:r>
          </w:p>
        </w:tc>
        <w:tc>
          <w:tcPr>
            <w:tcW w:w="0" w:type="auto"/>
            <w:vAlign w:val="center"/>
          </w:tcPr>
          <w:p w:rsidR="000E1C9C" w:rsidRDefault="000E1C9C" w:rsidP="000E1C9C">
            <w:pPr>
              <w:jc w:val="center"/>
            </w:pPr>
            <w:r>
              <w:t>35.62%</w:t>
            </w:r>
          </w:p>
        </w:tc>
        <w:tc>
          <w:tcPr>
            <w:tcW w:w="0" w:type="auto"/>
          </w:tcPr>
          <w:p w:rsidR="000E1C9C" w:rsidRDefault="000E1C9C" w:rsidP="000E1C9C">
            <w:pPr>
              <w:jc w:val="center"/>
            </w:pPr>
            <w:r>
              <w:t>-</w:t>
            </w:r>
          </w:p>
        </w:tc>
      </w:tr>
      <w:tr w:rsidR="000E1C9C" w:rsidTr="000E1C9C">
        <w:trPr>
          <w:trHeight w:val="265"/>
          <w:jc w:val="center"/>
        </w:trPr>
        <w:tc>
          <w:tcPr>
            <w:tcW w:w="0" w:type="auto"/>
            <w:vAlign w:val="center"/>
          </w:tcPr>
          <w:p w:rsidR="000E1C9C" w:rsidRDefault="000E1C9C" w:rsidP="000E1C9C">
            <w:pPr>
              <w:jc w:val="center"/>
            </w:pPr>
            <w:r>
              <w:t>LinkedIn</w:t>
            </w:r>
          </w:p>
        </w:tc>
        <w:tc>
          <w:tcPr>
            <w:tcW w:w="0" w:type="auto"/>
            <w:vAlign w:val="center"/>
          </w:tcPr>
          <w:p w:rsidR="000E1C9C" w:rsidRDefault="000E1C9C" w:rsidP="000E1C9C">
            <w:pPr>
              <w:jc w:val="center"/>
            </w:pPr>
            <w:r>
              <w:t>259m</w:t>
            </w:r>
          </w:p>
        </w:tc>
        <w:tc>
          <w:tcPr>
            <w:tcW w:w="0" w:type="auto"/>
            <w:vAlign w:val="center"/>
          </w:tcPr>
          <w:p w:rsidR="000E1C9C" w:rsidRDefault="000E1C9C" w:rsidP="000E1C9C">
            <w:pPr>
              <w:jc w:val="center"/>
            </w:pPr>
            <w:r>
              <w:t>$16,884</w:t>
            </w:r>
          </w:p>
        </w:tc>
        <w:tc>
          <w:tcPr>
            <w:tcW w:w="0" w:type="auto"/>
            <w:vAlign w:val="center"/>
          </w:tcPr>
          <w:p w:rsidR="000E1C9C" w:rsidRDefault="000E1C9C" w:rsidP="000E1C9C">
            <w:pPr>
              <w:jc w:val="center"/>
            </w:pPr>
            <w:r>
              <w:t>90.7m</w:t>
            </w:r>
          </w:p>
        </w:tc>
        <w:tc>
          <w:tcPr>
            <w:tcW w:w="0" w:type="auto"/>
            <w:vAlign w:val="center"/>
          </w:tcPr>
          <w:p w:rsidR="000E1C9C" w:rsidRDefault="000E1C9C" w:rsidP="000E1C9C">
            <w:pPr>
              <w:jc w:val="center"/>
            </w:pPr>
            <w:r>
              <w:t>Normalized</w:t>
            </w:r>
          </w:p>
          <w:p w:rsidR="000E1C9C" w:rsidRDefault="000E1C9C" w:rsidP="000E1C9C">
            <w:pPr>
              <w:jc w:val="center"/>
            </w:pPr>
            <w:r>
              <w:t>1,108.56m</w:t>
            </w:r>
          </w:p>
        </w:tc>
        <w:tc>
          <w:tcPr>
            <w:tcW w:w="0" w:type="auto"/>
            <w:vAlign w:val="center"/>
          </w:tcPr>
          <w:p w:rsidR="000E1C9C" w:rsidRDefault="000E1C9C" w:rsidP="000E1C9C">
            <w:pPr>
              <w:jc w:val="center"/>
            </w:pPr>
            <w:r>
              <w:t>6.5%</w:t>
            </w:r>
          </w:p>
        </w:tc>
        <w:tc>
          <w:tcPr>
            <w:tcW w:w="0" w:type="auto"/>
          </w:tcPr>
          <w:p w:rsidR="000E1C9C" w:rsidRDefault="000E1C9C" w:rsidP="000E1C9C">
            <w:pPr>
              <w:jc w:val="center"/>
            </w:pPr>
            <w:r>
              <w:t>-</w:t>
            </w:r>
          </w:p>
        </w:tc>
      </w:tr>
      <w:tr w:rsidR="000E1C9C" w:rsidTr="000E1C9C">
        <w:trPr>
          <w:trHeight w:val="277"/>
          <w:jc w:val="center"/>
        </w:trPr>
        <w:tc>
          <w:tcPr>
            <w:tcW w:w="0" w:type="auto"/>
            <w:vAlign w:val="center"/>
          </w:tcPr>
          <w:p w:rsidR="000E1C9C" w:rsidRDefault="000E1C9C" w:rsidP="000E1C9C">
            <w:pPr>
              <w:jc w:val="center"/>
            </w:pPr>
            <w:r>
              <w:t>Industry</w:t>
            </w:r>
          </w:p>
        </w:tc>
        <w:tc>
          <w:tcPr>
            <w:tcW w:w="0" w:type="auto"/>
            <w:vAlign w:val="center"/>
          </w:tcPr>
          <w:p w:rsidR="000E1C9C" w:rsidRDefault="000E1C9C" w:rsidP="000E1C9C">
            <w:pPr>
              <w:jc w:val="center"/>
            </w:pPr>
            <w:r>
              <w:t>-</w:t>
            </w:r>
          </w:p>
        </w:tc>
        <w:tc>
          <w:tcPr>
            <w:tcW w:w="0" w:type="auto"/>
            <w:vAlign w:val="center"/>
          </w:tcPr>
          <w:p w:rsidR="000E1C9C" w:rsidRDefault="000E1C9C" w:rsidP="000E1C9C">
            <w:pPr>
              <w:jc w:val="center"/>
            </w:pPr>
            <w:r>
              <w:t>-</w:t>
            </w:r>
          </w:p>
        </w:tc>
        <w:tc>
          <w:tcPr>
            <w:tcW w:w="0" w:type="auto"/>
            <w:vAlign w:val="center"/>
          </w:tcPr>
          <w:p w:rsidR="000E1C9C" w:rsidRDefault="000E1C9C" w:rsidP="000E1C9C">
            <w:pPr>
              <w:jc w:val="center"/>
            </w:pPr>
            <w:r>
              <w:t>-</w:t>
            </w:r>
          </w:p>
        </w:tc>
        <w:tc>
          <w:tcPr>
            <w:tcW w:w="0" w:type="auto"/>
            <w:vAlign w:val="center"/>
          </w:tcPr>
          <w:p w:rsidR="000E1C9C" w:rsidRDefault="000E1C9C" w:rsidP="000E1C9C">
            <w:pPr>
              <w:jc w:val="center"/>
            </w:pPr>
            <w:r>
              <w:t>-</w:t>
            </w:r>
          </w:p>
        </w:tc>
        <w:tc>
          <w:tcPr>
            <w:tcW w:w="0" w:type="auto"/>
            <w:vAlign w:val="center"/>
          </w:tcPr>
          <w:p w:rsidR="000E1C9C" w:rsidRDefault="000E1C9C" w:rsidP="000E1C9C">
            <w:pPr>
              <w:jc w:val="center"/>
            </w:pPr>
            <w:r>
              <w:t>19.33%</w:t>
            </w:r>
          </w:p>
        </w:tc>
        <w:tc>
          <w:tcPr>
            <w:tcW w:w="0" w:type="auto"/>
          </w:tcPr>
          <w:p w:rsidR="000E1C9C" w:rsidRDefault="000E1C9C" w:rsidP="00B5612D">
            <w:pPr>
              <w:jc w:val="center"/>
            </w:pPr>
            <w:r>
              <w:t>(</w:t>
            </w:r>
            <w:r w:rsidR="00B5612D">
              <w:t>0</w:t>
            </w:r>
            <w:r>
              <w:t>.</w:t>
            </w:r>
            <w:r w:rsidR="008C03C9">
              <w:t>9</w:t>
            </w:r>
            <w:r>
              <w:t>1%+3.34%)</w:t>
            </w:r>
          </w:p>
        </w:tc>
      </w:tr>
    </w:tbl>
    <w:p w:rsidR="000E1C9C" w:rsidRDefault="000E1C9C" w:rsidP="00C408FC">
      <w:pPr>
        <w:jc w:val="both"/>
      </w:pPr>
      <w:r>
        <w:t>Revenue for LinkedIn is normalized, because they have not published the annual report yet</w:t>
      </w:r>
    </w:p>
    <w:p w:rsidR="000E1C9C" w:rsidRDefault="000E1C9C" w:rsidP="00375EB7">
      <w:pPr>
        <w:jc w:val="center"/>
      </w:pPr>
      <w:r w:rsidRPr="00507632">
        <w:rPr>
          <w:position w:val="-46"/>
        </w:rPr>
        <w:object w:dxaOrig="4099" w:dyaOrig="1060" w14:anchorId="48CD0F9F">
          <v:shape id="_x0000_i1026" type="#_x0000_t75" style="width:205.5pt;height:54pt" o:ole="">
            <v:imagedata r:id="rId27" o:title=""/>
          </v:shape>
          <o:OLEObject Type="Embed" ProgID="Equation.3" ShapeID="_x0000_i1026" DrawAspect="Content" ObjectID="_1854575657" r:id="rId28"/>
        </w:object>
      </w:r>
    </w:p>
    <w:p w:rsidR="000E1C9C" w:rsidRPr="000E1C9C" w:rsidRDefault="000E1C9C" w:rsidP="00C408FC">
      <w:pPr>
        <w:jc w:val="both"/>
        <w:rPr>
          <w:i/>
        </w:rPr>
      </w:pPr>
      <w:r w:rsidRPr="000E1C9C">
        <w:rPr>
          <w:i/>
        </w:rPr>
        <w:t>Price Sales Ratio</w:t>
      </w:r>
    </w:p>
    <w:p w:rsidR="000E1C9C" w:rsidRDefault="006F314D" w:rsidP="00375EB7">
      <w:pPr>
        <w:jc w:val="center"/>
      </w:pPr>
      <w:r w:rsidRPr="006F314D">
        <w:rPr>
          <w:position w:val="-188"/>
        </w:rPr>
        <w:object w:dxaOrig="3640" w:dyaOrig="3879" w14:anchorId="7DDD14C2">
          <v:shape id="_x0000_i1027" type="#_x0000_t75" style="width:182.25pt;height:194.25pt" o:ole="">
            <v:imagedata r:id="rId29" o:title=""/>
          </v:shape>
          <o:OLEObject Type="Embed" ProgID="Equation.3" ShapeID="_x0000_i1027" DrawAspect="Content" ObjectID="_1854575658" r:id="rId30"/>
        </w:object>
      </w:r>
    </w:p>
    <w:p w:rsidR="000E1C9C" w:rsidRPr="000E1C9C" w:rsidRDefault="000E1C9C" w:rsidP="000E1C9C">
      <w:pPr>
        <w:jc w:val="both"/>
        <w:rPr>
          <w:i/>
        </w:rPr>
      </w:pPr>
      <w:r>
        <w:t xml:space="preserve"> </w:t>
      </w:r>
      <w:r w:rsidRPr="000E1C9C">
        <w:rPr>
          <w:i/>
        </w:rPr>
        <w:t xml:space="preserve">Price </w:t>
      </w:r>
      <w:r>
        <w:rPr>
          <w:i/>
        </w:rPr>
        <w:t>MAU</w:t>
      </w:r>
    </w:p>
    <w:p w:rsidR="000E1C9C" w:rsidRDefault="006F314D" w:rsidP="00375EB7">
      <w:pPr>
        <w:jc w:val="center"/>
      </w:pPr>
      <w:r w:rsidRPr="000E1C9C">
        <w:rPr>
          <w:position w:val="-222"/>
        </w:rPr>
        <w:object w:dxaOrig="3360" w:dyaOrig="4560" w14:anchorId="25725A0D">
          <v:shape id="_x0000_i1028" type="#_x0000_t75" style="width:168pt;height:227.25pt" o:ole="">
            <v:imagedata r:id="rId31" o:title=""/>
          </v:shape>
          <o:OLEObject Type="Embed" ProgID="Equation.3" ShapeID="_x0000_i1028" DrawAspect="Content" ObjectID="_1854575659" r:id="rId32"/>
        </w:object>
      </w:r>
    </w:p>
    <w:p w:rsidR="001319A3" w:rsidRDefault="000E1C9C" w:rsidP="00C408FC">
      <w:pPr>
        <w:jc w:val="both"/>
      </w:pPr>
      <w:r>
        <w:t>The average price is very close to the prevailing price</w:t>
      </w:r>
      <w:r w:rsidR="005C6DA1">
        <w:t xml:space="preserve"> (</w:t>
      </w:r>
      <m:oMath>
        <m:r>
          <w:rPr>
            <w:rFonts w:ascii="Cambria Math" w:hAnsi="Cambria Math"/>
          </w:rPr>
          <m:t>$55.4</m:t>
        </m:r>
      </m:oMath>
      <w:r w:rsidR="005C6DA1">
        <w:rPr>
          <w:rFonts w:eastAsiaTheme="minorEastAsia"/>
        </w:rPr>
        <w:t xml:space="preserve"> in March </w:t>
      </w:r>
      <w:r w:rsidR="005C6DA1">
        <w:t>2014)</w:t>
      </w:r>
      <w:r>
        <w:t>. Some initial conclusions might include the speculation that the market weights both revenues and MAU equally. Any change in the figures is expected to have a significant impact on the share price.</w:t>
      </w:r>
    </w:p>
    <w:p w:rsidR="000E1C9C" w:rsidRPr="000E1C9C" w:rsidRDefault="000E1C9C" w:rsidP="00C408FC">
      <w:pPr>
        <w:jc w:val="both"/>
        <w:rPr>
          <w:i/>
        </w:rPr>
      </w:pPr>
      <w:r w:rsidRPr="000E1C9C">
        <w:rPr>
          <w:i/>
        </w:rPr>
        <w:t>DCF Valuation and Assumptions</w:t>
      </w:r>
    </w:p>
    <w:p w:rsidR="000E1C9C" w:rsidRDefault="000E1C9C" w:rsidP="00C408FC">
      <w:pPr>
        <w:jc w:val="both"/>
      </w:pPr>
      <w:r>
        <w:t>Twitter is a money losing firm at the moment, but it is expected to grow fast, both in terms of revenue</w:t>
      </w:r>
      <w:r w:rsidR="008531BF">
        <w:t>s</w:t>
      </w:r>
      <w:r>
        <w:t xml:space="preserve"> and </w:t>
      </w:r>
      <w:r w:rsidR="008531BF">
        <w:t>MAU. Both EBIT and NI are negative, so the only positive figure that we can use is sales and consequently operating margin. We assume the following:</w:t>
      </w:r>
    </w:p>
    <w:tbl>
      <w:tblPr>
        <w:tblStyle w:val="Sombreadoclaro-nfasis5"/>
        <w:tblW w:w="0" w:type="auto"/>
        <w:jc w:val="center"/>
        <w:tblLook w:val="04A0" w:firstRow="1" w:lastRow="0" w:firstColumn="1" w:lastColumn="0" w:noHBand="0" w:noVBand="1"/>
      </w:tblPr>
      <w:tblGrid>
        <w:gridCol w:w="1660"/>
        <w:gridCol w:w="664"/>
        <w:gridCol w:w="764"/>
        <w:gridCol w:w="764"/>
        <w:gridCol w:w="764"/>
        <w:gridCol w:w="764"/>
        <w:gridCol w:w="764"/>
        <w:gridCol w:w="875"/>
        <w:gridCol w:w="875"/>
      </w:tblGrid>
      <w:tr w:rsidR="008531BF" w:rsidRPr="008531BF" w:rsidTr="008531B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rPr>
                <w:rFonts w:ascii="Calibri" w:eastAsia="Times New Roman" w:hAnsi="Calibri" w:cs="Times New Roman"/>
                <w:color w:val="000000"/>
                <w:lang w:eastAsia="en-GB"/>
              </w:rPr>
            </w:pP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0</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2</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3</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4</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5</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6</w:t>
            </w:r>
          </w:p>
        </w:tc>
        <w:tc>
          <w:tcPr>
            <w:tcW w:w="0" w:type="auto"/>
            <w:tcBorders>
              <w:top w:val="none" w:sz="0" w:space="0" w:color="auto"/>
              <w:left w:val="none" w:sz="0" w:space="0" w:color="auto"/>
              <w:bottom w:val="none" w:sz="0" w:space="0" w:color="auto"/>
              <w:right w:val="none" w:sz="0" w:space="0" w:color="auto"/>
            </w:tcBorders>
            <w:noWrap/>
            <w:hideMark/>
          </w:tcPr>
          <w:p w:rsidR="008531BF" w:rsidRPr="008531BF" w:rsidRDefault="008531BF" w:rsidP="008531B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r>
      <w:tr w:rsidR="008531BF" w:rsidRPr="008531BF" w:rsidTr="008531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hideMark/>
          </w:tcPr>
          <w:p w:rsidR="008531BF" w:rsidRPr="008531BF" w:rsidRDefault="008531BF" w:rsidP="008531BF">
            <w:pPr>
              <w:jc w:val="center"/>
              <w:rPr>
                <w:rFonts w:ascii="Calibri" w:eastAsia="Times New Roman" w:hAnsi="Calibri" w:cs="Times New Roman"/>
                <w:color w:val="000000"/>
                <w:lang w:eastAsia="en-GB"/>
              </w:rPr>
            </w:pPr>
            <w:r>
              <w:rPr>
                <w:rFonts w:ascii="Calibri" w:eastAsia="Times New Roman" w:hAnsi="Calibri" w:cs="Times New Roman"/>
                <w:color w:val="000000"/>
                <w:lang w:val="el-GR" w:eastAsia="en-GB"/>
              </w:rPr>
              <w:t>Δ</w:t>
            </w:r>
            <w:r w:rsidRPr="008531BF">
              <w:rPr>
                <w:rFonts w:ascii="Calibri" w:eastAsia="Times New Roman" w:hAnsi="Calibri" w:cs="Times New Roman"/>
                <w:color w:val="000000"/>
                <w:lang w:eastAsia="en-GB"/>
              </w:rPr>
              <w:t>sales</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w:t>
            </w:r>
            <w:r>
              <w:rPr>
                <w:rFonts w:ascii="Calibri" w:eastAsia="Times New Roman" w:hAnsi="Calibri" w:cs="Times New Roman"/>
                <w:color w:val="000000"/>
                <w:lang w:eastAsia="en-GB"/>
              </w:rPr>
              <w:t>00%</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75%</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50%</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25%</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c>
          <w:tcPr>
            <w:tcW w:w="0" w:type="auto"/>
            <w:tcBorders>
              <w:left w:val="none" w:sz="0" w:space="0" w:color="auto"/>
              <w:right w:val="none" w:sz="0" w:space="0" w:color="auto"/>
            </w:tcBorders>
            <w:noWrap/>
            <w:hideMark/>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w:t>
            </w:r>
          </w:p>
        </w:tc>
      </w:tr>
      <w:tr w:rsidR="008531BF" w:rsidRPr="008531BF" w:rsidTr="008531BF">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008531BF" w:rsidRPr="008531BF" w:rsidRDefault="008531BF" w:rsidP="008531BF">
            <w:pPr>
              <w:jc w:val="center"/>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OPM</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-95</w:t>
            </w:r>
            <w:r>
              <w:rPr>
                <w:rFonts w:ascii="Calibri" w:eastAsia="Times New Roman" w:hAnsi="Calibri" w:cs="Times New Roman"/>
                <w:color w:val="000000"/>
                <w:lang w:eastAsia="en-GB"/>
              </w:rPr>
              <w:t>%</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-5</w:t>
            </w:r>
            <w:r>
              <w:rPr>
                <w:rFonts w:ascii="Calibri" w:eastAsia="Times New Roman" w:hAnsi="Calibri" w:cs="Times New Roman"/>
                <w:color w:val="000000"/>
                <w:lang w:eastAsia="en-GB"/>
              </w:rPr>
              <w:t>0%</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-2</w:t>
            </w:r>
            <w:r>
              <w:rPr>
                <w:rFonts w:ascii="Calibri" w:eastAsia="Times New Roman" w:hAnsi="Calibri" w:cs="Times New Roman"/>
                <w:color w:val="000000"/>
                <w:lang w:eastAsia="en-GB"/>
              </w:rPr>
              <w:t>0%</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0</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5</w:t>
            </w:r>
            <w:r>
              <w:rPr>
                <w:rFonts w:ascii="Calibri" w:eastAsia="Times New Roman" w:hAnsi="Calibri" w:cs="Times New Roman"/>
                <w:color w:val="000000"/>
                <w:lang w:eastAsia="en-GB"/>
              </w:rPr>
              <w:t>%</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15</w:t>
            </w:r>
            <w:r>
              <w:rPr>
                <w:rFonts w:ascii="Calibri" w:eastAsia="Times New Roman" w:hAnsi="Calibri" w:cs="Times New Roman"/>
                <w:color w:val="000000"/>
                <w:lang w:eastAsia="en-GB"/>
              </w:rPr>
              <w:t>%</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19</w:t>
            </w:r>
            <w:r>
              <w:rPr>
                <w:rFonts w:ascii="Calibri" w:eastAsia="Times New Roman" w:hAnsi="Calibri" w:cs="Times New Roman"/>
                <w:color w:val="000000"/>
                <w:lang w:eastAsia="en-GB"/>
              </w:rPr>
              <w:t>.</w:t>
            </w:r>
            <w:r w:rsidRPr="008531BF">
              <w:rPr>
                <w:rFonts w:ascii="Calibri" w:eastAsia="Times New Roman" w:hAnsi="Calibri" w:cs="Times New Roman"/>
                <w:color w:val="000000"/>
                <w:lang w:eastAsia="en-GB"/>
              </w:rPr>
              <w:t>33</w:t>
            </w:r>
            <w:r w:rsidR="007D0AE3">
              <w:rPr>
                <w:rFonts w:ascii="Calibri" w:eastAsia="Times New Roman" w:hAnsi="Calibri" w:cs="Times New Roman"/>
                <w:color w:val="000000"/>
                <w:lang w:eastAsia="en-GB"/>
              </w:rPr>
              <w:t>%</w:t>
            </w:r>
          </w:p>
        </w:tc>
        <w:tc>
          <w:tcPr>
            <w:tcW w:w="0" w:type="auto"/>
            <w:noWrap/>
            <w:hideMark/>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19</w:t>
            </w:r>
            <w:r>
              <w:rPr>
                <w:rFonts w:ascii="Calibri" w:eastAsia="Times New Roman" w:hAnsi="Calibri" w:cs="Times New Roman"/>
                <w:color w:val="000000"/>
                <w:lang w:eastAsia="en-GB"/>
              </w:rPr>
              <w:t>.</w:t>
            </w:r>
            <w:r w:rsidRPr="008531BF">
              <w:rPr>
                <w:rFonts w:ascii="Calibri" w:eastAsia="Times New Roman" w:hAnsi="Calibri" w:cs="Times New Roman"/>
                <w:color w:val="000000"/>
                <w:lang w:eastAsia="en-GB"/>
              </w:rPr>
              <w:t>33</w:t>
            </w:r>
            <w:r>
              <w:rPr>
                <w:rFonts w:ascii="Calibri" w:eastAsia="Times New Roman" w:hAnsi="Calibri" w:cs="Times New Roman"/>
                <w:color w:val="000000"/>
                <w:lang w:eastAsia="en-GB"/>
              </w:rPr>
              <w:t>%</w:t>
            </w:r>
          </w:p>
        </w:tc>
      </w:tr>
      <w:tr w:rsidR="001A137C" w:rsidRPr="008531BF" w:rsidTr="008531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1A137C" w:rsidRPr="008531BF" w:rsidRDefault="001A137C" w:rsidP="001A137C">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NetCapEx/Sales</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0.91%</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581343">
              <w:rPr>
                <w:rFonts w:ascii="Calibri" w:eastAsia="Times New Roman" w:hAnsi="Calibri" w:cs="Times New Roman"/>
                <w:color w:val="000000"/>
                <w:lang w:eastAsia="en-GB"/>
              </w:rPr>
              <w:t>0.91%</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581343">
              <w:rPr>
                <w:rFonts w:ascii="Calibri" w:eastAsia="Times New Roman" w:hAnsi="Calibri" w:cs="Times New Roman"/>
                <w:color w:val="000000"/>
                <w:lang w:eastAsia="en-GB"/>
              </w:rPr>
              <w:t>0.91%</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581343">
              <w:rPr>
                <w:rFonts w:ascii="Calibri" w:eastAsia="Times New Roman" w:hAnsi="Calibri" w:cs="Times New Roman"/>
                <w:color w:val="000000"/>
                <w:lang w:eastAsia="en-GB"/>
              </w:rPr>
              <w:t>0.91%</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581343">
              <w:rPr>
                <w:rFonts w:ascii="Calibri" w:eastAsia="Times New Roman" w:hAnsi="Calibri" w:cs="Times New Roman"/>
                <w:color w:val="000000"/>
                <w:lang w:eastAsia="en-GB"/>
              </w:rPr>
              <w:t>0.91%</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581343">
              <w:rPr>
                <w:rFonts w:ascii="Calibri" w:eastAsia="Times New Roman" w:hAnsi="Calibri" w:cs="Times New Roman"/>
                <w:color w:val="000000"/>
                <w:lang w:eastAsia="en-GB"/>
              </w:rPr>
              <w:t>0.91%</w:t>
            </w:r>
          </w:p>
        </w:tc>
        <w:tc>
          <w:tcPr>
            <w:tcW w:w="0" w:type="auto"/>
            <w:tcBorders>
              <w:left w:val="none" w:sz="0" w:space="0" w:color="auto"/>
              <w:right w:val="none" w:sz="0" w:space="0" w:color="auto"/>
            </w:tcBorders>
            <w:noWrap/>
          </w:tcPr>
          <w:p w:rsidR="001A137C" w:rsidRPr="008531BF" w:rsidRDefault="001A137C" w:rsidP="001A137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581343">
              <w:rPr>
                <w:rFonts w:ascii="Calibri" w:eastAsia="Times New Roman" w:hAnsi="Calibri" w:cs="Times New Roman"/>
                <w:color w:val="000000"/>
                <w:lang w:eastAsia="en-GB"/>
              </w:rPr>
              <w:t>0.91%</w:t>
            </w:r>
          </w:p>
        </w:tc>
      </w:tr>
      <w:tr w:rsidR="001A137C" w:rsidRPr="008531BF" w:rsidTr="008531BF">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1A137C" w:rsidRDefault="001A137C" w:rsidP="001A137C">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NWC/Sales</w:t>
            </w:r>
          </w:p>
        </w:tc>
        <w:tc>
          <w:tcPr>
            <w:tcW w:w="0" w:type="auto"/>
            <w:noWrap/>
          </w:tcPr>
          <w:p w:rsidR="001A137C" w:rsidRPr="008531BF"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c>
          <w:tcPr>
            <w:tcW w:w="0" w:type="auto"/>
            <w:noWrap/>
          </w:tcPr>
          <w:p w:rsidR="001A137C" w:rsidRDefault="001A137C" w:rsidP="001A137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337D0">
              <w:rPr>
                <w:rFonts w:ascii="Calibri" w:eastAsia="Times New Roman" w:hAnsi="Calibri" w:cs="Times New Roman"/>
                <w:color w:val="000000"/>
                <w:lang w:eastAsia="en-GB"/>
              </w:rPr>
              <w:t>3.34%</w:t>
            </w:r>
          </w:p>
        </w:tc>
      </w:tr>
      <w:tr w:rsidR="008531BF" w:rsidRPr="008531BF" w:rsidTr="008531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8531BF" w:rsidRDefault="008531BF" w:rsidP="008531BF">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Tax</w:t>
            </w:r>
          </w:p>
        </w:tc>
        <w:tc>
          <w:tcPr>
            <w:tcW w:w="0" w:type="auto"/>
            <w:tcBorders>
              <w:left w:val="none" w:sz="0" w:space="0" w:color="auto"/>
              <w:right w:val="none" w:sz="0" w:space="0" w:color="auto"/>
            </w:tcBorders>
            <w:noWrap/>
          </w:tcPr>
          <w:p w:rsidR="008531BF" w:rsidRP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c>
          <w:tcPr>
            <w:tcW w:w="0" w:type="auto"/>
            <w:tcBorders>
              <w:left w:val="none" w:sz="0" w:space="0" w:color="auto"/>
              <w:right w:val="none" w:sz="0" w:space="0" w:color="auto"/>
            </w:tcBorders>
            <w:noWrap/>
          </w:tcPr>
          <w:p w:rsidR="008531BF" w:rsidRDefault="008531BF" w:rsidP="008531B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34%</w:t>
            </w:r>
          </w:p>
        </w:tc>
      </w:tr>
      <w:tr w:rsidR="008531BF" w:rsidRPr="008531BF" w:rsidTr="008531BF">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8531BF" w:rsidRDefault="008531BF" w:rsidP="008531BF">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Cost of Capital</w:t>
            </w:r>
          </w:p>
        </w:tc>
        <w:tc>
          <w:tcPr>
            <w:tcW w:w="0" w:type="auto"/>
            <w:noWrap/>
          </w:tcPr>
          <w:p w:rsidR="008531BF" w:rsidRP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c>
          <w:tcPr>
            <w:tcW w:w="0" w:type="auto"/>
            <w:noWrap/>
          </w:tcPr>
          <w:p w:rsidR="008531BF" w:rsidRDefault="008531BF" w:rsidP="008531B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9.85%</w:t>
            </w:r>
          </w:p>
        </w:tc>
      </w:tr>
    </w:tbl>
    <w:p w:rsidR="00884552" w:rsidRDefault="00884552" w:rsidP="00C408FC">
      <w:pPr>
        <w:jc w:val="both"/>
      </w:pPr>
    </w:p>
    <w:p w:rsidR="00B93B23" w:rsidRPr="00B93B23" w:rsidRDefault="008531BF" w:rsidP="00C408FC">
      <w:pPr>
        <w:jc w:val="both"/>
      </w:pPr>
      <w:r>
        <w:t>The tax rate is the marginal tax rate for the US, Twitter is assumed to reach stable growth (3%) after 7 years. The, currently negative operating margin (OPM) will reach the industry average (taken from the file attached on page 1) in 6 years. It needs to reach a positive sign fairly soon, because assets turnover in the industry is very fast. We assume that Twitter will turn on the green side after around 3 to 4 years</w:t>
      </w:r>
      <w:r w:rsidR="00532964">
        <w:t xml:space="preserve"> (around 2018)</w:t>
      </w:r>
      <w:r>
        <w:t xml:space="preserve">. Re-investments are assumed to be consistent with industry averages in order to maintain growth. The expected growth of sales is consistent with the IPO expectations (see below). </w:t>
      </w:r>
      <w:r w:rsidR="00B93B23">
        <w:t xml:space="preserve">Cost of capital is assumed to be consistent with industry standards. </w:t>
      </w:r>
      <w:r>
        <w:t>The FCFF are given below.</w:t>
      </w:r>
      <w:r w:rsidR="007D0AE3">
        <w:t xml:space="preserve"> </w:t>
      </w:r>
      <w:r w:rsidR="00B93B23">
        <w:t>Sales grow at a rate stated above, EBIT is computed given the stated operating margin, while the re-investment</w:t>
      </w:r>
      <w:r w:rsidR="00532964">
        <w:t>s</w:t>
      </w:r>
      <w:r w:rsidR="00B93B23">
        <w:t xml:space="preserve"> </w:t>
      </w:r>
      <w:r w:rsidR="00532964">
        <w:t>are NetCapEX=0.91%*</w:t>
      </w:r>
      <w:r w:rsidR="00532964" w:rsidRPr="00532964">
        <w:rPr>
          <w:b/>
        </w:rPr>
        <w:t>Sales</w:t>
      </w:r>
      <w:r w:rsidR="00532964">
        <w:t xml:space="preserve"> and </w:t>
      </w:r>
      <w:r w:rsidR="00532964">
        <w:rPr>
          <w:lang w:val="el-GR"/>
        </w:rPr>
        <w:t>Δ</w:t>
      </w:r>
      <w:r w:rsidR="00532964">
        <w:t>NWC=3.34</w:t>
      </w:r>
      <w:r w:rsidR="00B93B23">
        <w:t>%</w:t>
      </w:r>
      <w:r w:rsidR="00532964">
        <w:t>x</w:t>
      </w:r>
      <w:r w:rsidR="00532964" w:rsidRPr="00532964">
        <w:rPr>
          <w:b/>
          <w:lang w:val="el-GR"/>
        </w:rPr>
        <w:t>Δ</w:t>
      </w:r>
      <w:r w:rsidR="00532964" w:rsidRPr="00532964">
        <w:rPr>
          <w:b/>
        </w:rPr>
        <w:t>Sales</w:t>
      </w:r>
      <w:r w:rsidR="00B93B23">
        <w:rPr>
          <w:b/>
        </w:rPr>
        <w:t xml:space="preserve">. </w:t>
      </w:r>
      <w:r w:rsidR="00B93B23">
        <w:t>FCFF is EBIT(1-T)-</w:t>
      </w:r>
      <w:r w:rsidR="00532964">
        <w:t>NetCapEX-</w:t>
      </w:r>
      <w:r w:rsidR="00532964">
        <w:rPr>
          <w:lang w:val="el-GR"/>
        </w:rPr>
        <w:t>Δ</w:t>
      </w:r>
      <w:r w:rsidR="00532964">
        <w:t>NWC. T</w:t>
      </w:r>
      <w:r w:rsidR="00B93B23">
        <w:t>he Discounted FCFF is computed using 9.85% discount rate.</w:t>
      </w:r>
      <w:r w:rsidR="007D0AE3">
        <w:t xml:space="preserve"> </w:t>
      </w:r>
    </w:p>
    <w:tbl>
      <w:tblPr>
        <w:tblW w:w="0" w:type="auto"/>
        <w:jc w:val="center"/>
        <w:tblLook w:val="04A0" w:firstRow="1" w:lastRow="0" w:firstColumn="1" w:lastColumn="0" w:noHBand="0" w:noVBand="1"/>
      </w:tblPr>
      <w:tblGrid>
        <w:gridCol w:w="1620"/>
        <w:gridCol w:w="1646"/>
        <w:gridCol w:w="1385"/>
        <w:gridCol w:w="1385"/>
        <w:gridCol w:w="1385"/>
      </w:tblGrid>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 </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growth</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75%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664,890.00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1,329,780.00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2,327,115.00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3,490,672.50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OPM</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0.00%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EBIT</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-664,890.00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-465,423.00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0.00</w:t>
            </w:r>
          </w:p>
        </w:tc>
      </w:tr>
      <w:tr w:rsidR="00A6329E" w:rsidRPr="00A6329E" w:rsidTr="00A6329E">
        <w:trPr>
          <w:trHeight w:val="20"/>
          <w:jc w:val="center"/>
        </w:trPr>
        <w:tc>
          <w:tcPr>
            <w:tcW w:w="0" w:type="auto"/>
            <w:gridSpan w:val="2"/>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NetCapEx/Sales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r>
      <w:tr w:rsidR="00A6329E" w:rsidRPr="00A6329E" w:rsidTr="00A6329E">
        <w:trPr>
          <w:trHeight w:val="20"/>
          <w:jc w:val="center"/>
        </w:trPr>
        <w:tc>
          <w:tcPr>
            <w:tcW w:w="0" w:type="auto"/>
            <w:gridSpan w:val="2"/>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NWC/Sales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NetCapEx</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12,101.00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21,176.75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31,765.12</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ΔNWC</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22,207.33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33,310.99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38,862.82</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Tax</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FCFF</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-699,198.32</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-519,910.74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-70,627.94</w:t>
            </w:r>
          </w:p>
        </w:tc>
      </w:tr>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DFCFF</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 </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-636,502.80</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-430,852.55</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-53,281.49</w:t>
            </w:r>
          </w:p>
        </w:tc>
      </w:tr>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 </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6</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7</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growth</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4,363,340.63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4,799,674.69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5,039,658.42</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5,190,848.17</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OPM</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15.00%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19.33%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19.33%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EBIT</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218,167.03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719,951.20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974,165.97</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1,003,390.95</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NetCapEx/Sales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0.91%</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NWC/Sales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NetCapEx</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39,706.40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43,677.04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45,860.89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47,236.72</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ΔNWC</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29,147.12</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14,573.56</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8,015.46</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5,049.74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Tax</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FCFF</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75,136.73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416,917.20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589,073.19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609,951.57</w:t>
            </w:r>
          </w:p>
        </w:tc>
      </w:tr>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DFCFF</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51,600.28</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260,645.06</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335,250.08</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5,067,624.37</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Vf</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r w:rsidRPr="00A6329E">
              <w:rPr>
                <w:rFonts w:ascii="Calibri" w:eastAsia="Times New Roman" w:hAnsi="Calibri" w:cs="Times New Roman"/>
                <w:color w:val="000000"/>
                <w:lang w:eastAsia="en-GB"/>
              </w:rPr>
              <w:t xml:space="preserve"> $  4,594,482.96 </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Times New Roman"/>
                <w:color w:val="000000"/>
                <w:lang w:eastAsia="en-GB"/>
              </w:rPr>
            </w:pP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Times New Roman" w:eastAsia="Times New Roman" w:hAnsi="Times New Roman" w:cs="Times New Roman"/>
                <w:sz w:val="20"/>
                <w:szCs w:val="20"/>
                <w:lang w:eastAsia="en-GB"/>
              </w:rPr>
            </w:pPr>
          </w:p>
        </w:tc>
      </w:tr>
    </w:tbl>
    <w:p w:rsidR="008531BF" w:rsidRDefault="008531BF" w:rsidP="00C408FC">
      <w:pPr>
        <w:jc w:val="both"/>
      </w:pPr>
    </w:p>
    <w:p w:rsidR="00621858" w:rsidRDefault="00621858" w:rsidP="00C408FC">
      <w:pPr>
        <w:jc w:val="both"/>
      </w:pPr>
      <w:r>
        <w:t>From Twitter’s annual report we see that report Cash and securities equal to around $2.2b (Cash $841.01m + Short term investments $1,393.04m), while debt, in the form of lease payments is consolidated to $197.65m (short $87.13m + long $110.52m).</w:t>
      </w:r>
      <w:r w:rsidR="00E23DD3">
        <w:t xml:space="preserve"> Consequently, Value of equity </w:t>
      </w:r>
      <w:r w:rsidR="00812BF8">
        <w:t>is</w:t>
      </w:r>
      <w:r w:rsidR="00A6329E">
        <w:t xml:space="preserve"> (242m shares)</w:t>
      </w:r>
      <w:r w:rsidR="00812BF8">
        <w:t xml:space="preserve">: </w:t>
      </w:r>
    </w:p>
    <w:p w:rsidR="00B5612D" w:rsidRDefault="00000000" w:rsidP="00C408FC">
      <w:pPr>
        <w:jc w:val="both"/>
      </w:pPr>
      <m:oMathPara>
        <m:oMath>
          <m:sSub>
            <m:sSubPr>
              <m:ctrlPr>
                <w:rPr>
                  <w:rFonts w:ascii="Cambria Math" w:hAnsi="Cambria Math"/>
                  <w:i/>
                </w:rPr>
              </m:ctrlPr>
            </m:sSubPr>
            <m:e>
              <m:r>
                <w:rPr>
                  <w:rFonts w:ascii="Cambria Math" w:hAnsi="Cambria Math"/>
                </w:rPr>
                <m:t>MV</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+CASH-</m:t>
          </m:r>
          <m:sSub>
            <m:sSubPr>
              <m:ctrlPr>
                <w:rPr>
                  <w:rFonts w:ascii="Cambria Math" w:hAnsi="Cambria Math"/>
                  <w:i/>
                </w:rPr>
              </m:ctrlPr>
            </m:sSubPr>
            <m:e>
              <m:r>
                <w:rPr>
                  <w:rFonts w:ascii="Cambria Math" w:hAnsi="Cambria Math"/>
                </w:rPr>
                <m:t>MV</m:t>
              </m:r>
            </m:e>
            <m:sub>
              <m:r>
                <w:rPr>
                  <w:rFonts w:ascii="Cambria Math" w:hAnsi="Cambria Math"/>
                </w:rPr>
                <m:t>D</m:t>
              </m:r>
            </m:sub>
          </m:sSub>
          <m:r>
            <w:rPr>
              <w:rFonts w:ascii="Cambria Math" w:eastAsiaTheme="minorEastAsia" w:hAnsi="Cambria Math"/>
            </w:rPr>
            <m:t>=$4,594,482+2,200-197=$4,596,482.96 or $18.99 per share</m:t>
          </m:r>
        </m:oMath>
      </m:oMathPara>
    </w:p>
    <w:p w:rsidR="00A6329E" w:rsidRDefault="00EB533D" w:rsidP="00812BF8">
      <w:pPr>
        <w:jc w:val="center"/>
      </w:pPr>
      <w:r>
        <w:object w:dxaOrig="1479" w:dyaOrig="973" w14:anchorId="285BC1B9">
          <v:shape id="_x0000_i1029" type="#_x0000_t75" style="width:74.25pt;height:48.75pt" o:ole="">
            <v:imagedata r:id="rId33" o:title=""/>
          </v:shape>
          <o:OLEObject Type="Embed" ProgID="Excel.Sheet.12" ShapeID="_x0000_i1029" DrawAspect="Icon" ObjectID="_1854575660" r:id="rId34"/>
        </w:object>
      </w:r>
    </w:p>
    <w:p w:rsidR="00A6329E" w:rsidRDefault="00A6329E">
      <w:r>
        <w:br w:type="page"/>
      </w:r>
    </w:p>
    <w:p w:rsidR="00812BF8" w:rsidRDefault="00812BF8" w:rsidP="00C408FC">
      <w:pPr>
        <w:jc w:val="both"/>
        <w:rPr>
          <w:i/>
        </w:rPr>
      </w:pPr>
      <w:r w:rsidRPr="00812BF8">
        <w:rPr>
          <w:i/>
        </w:rPr>
        <w:t>IPO valuation</w:t>
      </w:r>
    </w:p>
    <w:p w:rsidR="00812BF8" w:rsidRDefault="00812BF8" w:rsidP="00C408FC">
      <w:pPr>
        <w:jc w:val="both"/>
      </w:pPr>
      <w:r>
        <w:t>Let s start with the discounted cash flows. The only difference we will assume is that investors were expect</w:t>
      </w:r>
      <w:r w:rsidR="00375EB7">
        <w:t>ing</w:t>
      </w:r>
      <w:r>
        <w:t xml:space="preserve"> a growth from year 0 to year 1 equal to 130%</w:t>
      </w:r>
      <w:r w:rsidR="00375EB7">
        <w:t xml:space="preserve"> and that they were not expecting an operating loss of -95%</w:t>
      </w:r>
      <w:r>
        <w:t>.</w:t>
      </w:r>
      <w:r w:rsidR="00375EB7">
        <w:t xml:space="preserve"> Consequently, the expected growth rate from period 1 is 130%, while OPM is expected to move from -24% (annual report 2012) to the industry average in 6 years.</w:t>
      </w:r>
      <w:r>
        <w:t xml:space="preserve"> The Annual Revenue for 2012 was £316.99m (Twitter annual report). All other assumptions remain the same. </w:t>
      </w:r>
      <w:r w:rsidR="00375EB7">
        <w:t xml:space="preserve">The number of shares does not change, since it was an IPO. </w:t>
      </w:r>
      <w:r>
        <w:t>The cash flows can be summarized below</w:t>
      </w:r>
    </w:p>
    <w:tbl>
      <w:tblPr>
        <w:tblW w:w="0" w:type="auto"/>
        <w:jc w:val="center"/>
        <w:tblLook w:val="04A0" w:firstRow="1" w:lastRow="0" w:firstColumn="1" w:lastColumn="0" w:noHBand="0" w:noVBand="1"/>
      </w:tblPr>
      <w:tblGrid>
        <w:gridCol w:w="1620"/>
        <w:gridCol w:w="1696"/>
        <w:gridCol w:w="1385"/>
        <w:gridCol w:w="1385"/>
        <w:gridCol w:w="1385"/>
      </w:tblGrid>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 </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growth</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130%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75%</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316,993.00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729,083.90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1,458,167.80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2,551,793.65</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OPM</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5.00%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EBIT</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-72,908.39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127,589.68</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NetCapEx/Sales</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NWC/Sales</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NetCapEx</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6,634.66</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13,269.33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23,221.32</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ΔNWC</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13,763.84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24,351.40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36,527.10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Tax</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FCFF</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-93,306.89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-37,620.73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24,460.76</w:t>
            </w:r>
          </w:p>
        </w:tc>
      </w:tr>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DFCFF</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 </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-84,940.27</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-31,176.48</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18,453.12</w:t>
            </w:r>
          </w:p>
        </w:tc>
      </w:tr>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 </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4</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6</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7</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growth</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3,827,690.48</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4,784,613.09</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5,263,074.40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5,420,966.64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OPM</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10.00%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15.00%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19.33%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19.33%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EBIT</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382,769.05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717,691.96</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1,017,352.28</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1,047,872.85</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NetCapEx/Sales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0.91%</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NWC/Sales</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NetCapEx</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34,831.98</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43,539.98</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47,893.98</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49,330.80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ΔNWC</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42,614.95</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31,961.22</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15,980.61</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5,273.60</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Tax</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FCFF</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175,180.63</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398,175.50</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607,577.92</w:t>
            </w:r>
          </w:p>
        </w:tc>
        <w:tc>
          <w:tcPr>
            <w:tcW w:w="0" w:type="auto"/>
            <w:tcBorders>
              <w:top w:val="nil"/>
              <w:left w:val="nil"/>
              <w:bottom w:val="nil"/>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636,991.68</w:t>
            </w:r>
          </w:p>
        </w:tc>
      </w:tr>
      <w:tr w:rsidR="00A6329E" w:rsidRPr="00A6329E" w:rsidTr="00A6329E">
        <w:trPr>
          <w:trHeight w:val="20"/>
          <w:jc w:val="center"/>
        </w:trPr>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DFCFF</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120,305.60</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248,928.28</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345,781.39</w:t>
            </w:r>
          </w:p>
        </w:tc>
        <w:tc>
          <w:tcPr>
            <w:tcW w:w="0" w:type="auto"/>
            <w:tcBorders>
              <w:top w:val="nil"/>
              <w:left w:val="nil"/>
              <w:bottom w:val="double" w:sz="6" w:space="0" w:color="auto"/>
              <w:right w:val="nil"/>
            </w:tcBorders>
            <w:noWrap/>
            <w:vAlign w:val="center"/>
            <w:hideMark/>
          </w:tcPr>
          <w:p w:rsidR="00A6329E" w:rsidRPr="00A6329E" w:rsidRDefault="00A6329E" w:rsidP="00A6329E">
            <w:pPr>
              <w:spacing w:after="0" w:line="240" w:lineRule="auto"/>
              <w:jc w:val="right"/>
              <w:rPr>
                <w:rFonts w:ascii="Calibri" w:eastAsia="Times New Roman" w:hAnsi="Calibri" w:cs="Calibri"/>
                <w:color w:val="000000"/>
                <w:lang w:eastAsia="en-GB"/>
              </w:rPr>
            </w:pPr>
            <w:r w:rsidRPr="00A6329E">
              <w:rPr>
                <w:rFonts w:ascii="Calibri" w:eastAsia="Times New Roman" w:hAnsi="Calibri" w:cs="Calibri"/>
                <w:color w:val="000000"/>
                <w:lang w:eastAsia="en-GB"/>
              </w:rPr>
              <w:t>5,292,280.13</w:t>
            </w:r>
          </w:p>
        </w:tc>
      </w:tr>
      <w:tr w:rsidR="00A6329E" w:rsidRPr="00A6329E" w:rsidTr="00A6329E">
        <w:trPr>
          <w:trHeight w:val="20"/>
          <w:jc w:val="center"/>
        </w:trPr>
        <w:tc>
          <w:tcPr>
            <w:tcW w:w="0" w:type="auto"/>
            <w:tcBorders>
              <w:top w:val="nil"/>
              <w:left w:val="nil"/>
              <w:bottom w:val="nil"/>
              <w:right w:val="nil"/>
            </w:tcBorders>
            <w:noWrap/>
            <w:vAlign w:val="center"/>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Vf</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r w:rsidRPr="00A6329E">
              <w:rPr>
                <w:rFonts w:ascii="Calibri" w:eastAsia="Times New Roman" w:hAnsi="Calibri" w:cs="Calibri"/>
                <w:color w:val="000000"/>
                <w:lang w:eastAsia="en-GB"/>
              </w:rPr>
              <w:t xml:space="preserve"> $   5,909,631.76 </w:t>
            </w: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bottom"/>
            <w:hideMark/>
          </w:tcPr>
          <w:p w:rsidR="00A6329E" w:rsidRPr="00A6329E" w:rsidRDefault="00A6329E" w:rsidP="00A6329E">
            <w:pPr>
              <w:spacing w:after="0" w:line="240" w:lineRule="auto"/>
              <w:rPr>
                <w:rFonts w:ascii="Times New Roman" w:eastAsia="Times New Roman" w:hAnsi="Times New Roman" w:cs="Times New Roman"/>
                <w:sz w:val="20"/>
                <w:szCs w:val="20"/>
                <w:lang w:eastAsia="en-GB"/>
              </w:rPr>
            </w:pPr>
          </w:p>
        </w:tc>
      </w:tr>
    </w:tbl>
    <w:p w:rsidR="00812BF8" w:rsidRDefault="00812BF8" w:rsidP="00C408FC">
      <w:pPr>
        <w:jc w:val="both"/>
      </w:pPr>
    </w:p>
    <w:p w:rsidR="00375EB7" w:rsidRDefault="00375EB7" w:rsidP="00C408FC">
      <w:pPr>
        <w:jc w:val="both"/>
      </w:pPr>
      <w:r>
        <w:t>Cash and Debt are computed the same way as before and they are $424.86m and $114.57m, respectively. Consequently, share price should be</w:t>
      </w:r>
    </w:p>
    <w:p w:rsidR="00A6329E" w:rsidRDefault="00000000" w:rsidP="00C408FC">
      <w:pPr>
        <w:jc w:val="both"/>
      </w:pPr>
      <m:oMathPara>
        <m:oMath>
          <m:sSub>
            <m:sSubPr>
              <m:ctrlPr>
                <w:rPr>
                  <w:rFonts w:ascii="Cambria Math" w:hAnsi="Cambria Math"/>
                  <w:i/>
                </w:rPr>
              </m:ctrlPr>
            </m:sSubPr>
            <m:e>
              <m:r>
                <w:rPr>
                  <w:rFonts w:ascii="Cambria Math" w:hAnsi="Cambria Math"/>
                </w:rPr>
                <m:t>MV</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+CASH-</m:t>
          </m:r>
          <m:sSub>
            <m:sSubPr>
              <m:ctrlPr>
                <w:rPr>
                  <w:rFonts w:ascii="Cambria Math" w:hAnsi="Cambria Math"/>
                  <w:i/>
                </w:rPr>
              </m:ctrlPr>
            </m:sSubPr>
            <m:e>
              <m:r>
                <w:rPr>
                  <w:rFonts w:ascii="Cambria Math" w:hAnsi="Cambria Math"/>
                </w:rPr>
                <m:t>MV</m:t>
              </m:r>
            </m:e>
            <m:sub>
              <m:r>
                <w:rPr>
                  <w:rFonts w:ascii="Cambria Math" w:hAnsi="Cambria Math"/>
                </w:rPr>
                <m:t>D</m:t>
              </m:r>
            </m:sub>
          </m:sSub>
          <m:r>
            <w:rPr>
              <w:rFonts w:ascii="Cambria Math" w:eastAsiaTheme="minorEastAsia" w:hAnsi="Cambria Math"/>
            </w:rPr>
            <m:t>=$5,909,631.76+424.86-114.57=$5,909,942.05 or $24.42 per share</m:t>
          </m:r>
        </m:oMath>
      </m:oMathPara>
    </w:p>
    <w:p w:rsidR="00375EB7" w:rsidRDefault="00375EB7" w:rsidP="00375EB7">
      <w:pPr>
        <w:jc w:val="center"/>
      </w:pPr>
    </w:p>
    <w:p w:rsidR="00375EB7" w:rsidRPr="00375EB7" w:rsidRDefault="00375EB7" w:rsidP="00C408FC">
      <w:pPr>
        <w:jc w:val="both"/>
        <w:rPr>
          <w:i/>
        </w:rPr>
      </w:pPr>
      <w:r w:rsidRPr="00375EB7">
        <w:rPr>
          <w:i/>
        </w:rPr>
        <w:t>Relative Valuation-Multiples</w:t>
      </w:r>
    </w:p>
    <w:p w:rsidR="00375EB7" w:rsidRDefault="00375EB7" w:rsidP="00C408FC">
      <w:pPr>
        <w:jc w:val="both"/>
      </w:pPr>
      <w:r>
        <w:t xml:space="preserve">The IPO was in November, when at the time there was no up to date information. We will estimate </w:t>
      </w:r>
      <w:r w:rsidR="002C455A">
        <w:t>trailing 3</w:t>
      </w:r>
      <w:r w:rsidR="002C455A" w:rsidRPr="002C455A">
        <w:rPr>
          <w:vertAlign w:val="superscript"/>
        </w:rPr>
        <w:t>rd</w:t>
      </w:r>
      <w:r w:rsidR="002C455A">
        <w:t xml:space="preserve"> quarter revenue figures and we will assume that MAU has not changed since then. Also, we will assume that the number of shares for Facebook and LinkedIn has not changed either. This will allow us to estimate MCAP from prevailing share prices. Data can be summarized below.</w:t>
      </w:r>
    </w:p>
    <w:tbl>
      <w:tblPr>
        <w:tblStyle w:val="Tablaconcuadrcula"/>
        <w:tblW w:w="0" w:type="auto"/>
        <w:jc w:val="center"/>
        <w:tblLook w:val="04A0" w:firstRow="1" w:lastRow="0" w:firstColumn="1" w:lastColumn="0" w:noHBand="0" w:noVBand="1"/>
      </w:tblPr>
      <w:tblGrid>
        <w:gridCol w:w="1073"/>
        <w:gridCol w:w="1005"/>
        <w:gridCol w:w="945"/>
        <w:gridCol w:w="1119"/>
        <w:gridCol w:w="1283"/>
      </w:tblGrid>
      <w:tr w:rsidR="002C455A" w:rsidTr="002C455A">
        <w:trPr>
          <w:trHeight w:val="806"/>
          <w:jc w:val="center"/>
        </w:trPr>
        <w:tc>
          <w:tcPr>
            <w:tcW w:w="0" w:type="auto"/>
            <w:vAlign w:val="center"/>
          </w:tcPr>
          <w:p w:rsidR="002C455A" w:rsidRDefault="002C455A" w:rsidP="002C455A">
            <w:pPr>
              <w:jc w:val="center"/>
            </w:pPr>
            <w:r>
              <w:t>Company</w:t>
            </w:r>
          </w:p>
        </w:tc>
        <w:tc>
          <w:tcPr>
            <w:tcW w:w="0" w:type="auto"/>
            <w:vAlign w:val="center"/>
          </w:tcPr>
          <w:p w:rsidR="002C455A" w:rsidRDefault="002C455A" w:rsidP="002C455A">
            <w:pPr>
              <w:jc w:val="center"/>
            </w:pPr>
            <w:r>
              <w:t>MAU</w:t>
            </w:r>
          </w:p>
        </w:tc>
        <w:tc>
          <w:tcPr>
            <w:tcW w:w="0" w:type="auto"/>
            <w:vAlign w:val="center"/>
          </w:tcPr>
          <w:p w:rsidR="002C455A" w:rsidRDefault="002C455A" w:rsidP="002C455A">
            <w:pPr>
              <w:jc w:val="center"/>
            </w:pPr>
            <w:r>
              <w:t>MCAP</w:t>
            </w:r>
          </w:p>
        </w:tc>
        <w:tc>
          <w:tcPr>
            <w:tcW w:w="0" w:type="auto"/>
            <w:vAlign w:val="center"/>
          </w:tcPr>
          <w:p w:rsidR="002C455A" w:rsidRDefault="002C455A" w:rsidP="002C455A">
            <w:pPr>
              <w:jc w:val="center"/>
            </w:pPr>
            <w:r>
              <w:t>No Shares</w:t>
            </w:r>
          </w:p>
        </w:tc>
        <w:tc>
          <w:tcPr>
            <w:tcW w:w="0" w:type="auto"/>
            <w:vAlign w:val="center"/>
          </w:tcPr>
          <w:p w:rsidR="002C455A" w:rsidRDefault="002C455A" w:rsidP="002C455A">
            <w:pPr>
              <w:jc w:val="center"/>
            </w:pPr>
            <w:r>
              <w:t>Revenue</w:t>
            </w:r>
          </w:p>
        </w:tc>
      </w:tr>
      <w:tr w:rsidR="002C455A" w:rsidTr="002C455A">
        <w:trPr>
          <w:trHeight w:val="265"/>
          <w:jc w:val="center"/>
        </w:trPr>
        <w:tc>
          <w:tcPr>
            <w:tcW w:w="0" w:type="auto"/>
            <w:vAlign w:val="center"/>
          </w:tcPr>
          <w:p w:rsidR="002C455A" w:rsidRDefault="002C455A" w:rsidP="002C455A">
            <w:pPr>
              <w:jc w:val="center"/>
            </w:pPr>
            <w:r>
              <w:t>Twitter</w:t>
            </w:r>
          </w:p>
        </w:tc>
        <w:tc>
          <w:tcPr>
            <w:tcW w:w="0" w:type="auto"/>
            <w:vAlign w:val="center"/>
          </w:tcPr>
          <w:p w:rsidR="002C455A" w:rsidRDefault="002C455A" w:rsidP="002C455A">
            <w:pPr>
              <w:jc w:val="center"/>
            </w:pPr>
            <w:r>
              <w:t>$241m</w:t>
            </w:r>
          </w:p>
        </w:tc>
        <w:tc>
          <w:tcPr>
            <w:tcW w:w="0" w:type="auto"/>
            <w:vAlign w:val="center"/>
          </w:tcPr>
          <w:p w:rsidR="002C455A" w:rsidRDefault="002C455A" w:rsidP="002C455A">
            <w:pPr>
              <w:jc w:val="center"/>
            </w:pPr>
            <w:r>
              <w:t>-</w:t>
            </w:r>
          </w:p>
        </w:tc>
        <w:tc>
          <w:tcPr>
            <w:tcW w:w="0" w:type="auto"/>
            <w:vAlign w:val="center"/>
          </w:tcPr>
          <w:p w:rsidR="002C455A" w:rsidRDefault="002C455A" w:rsidP="002C455A">
            <w:pPr>
              <w:jc w:val="center"/>
            </w:pPr>
            <w:r>
              <w:t>242m</w:t>
            </w:r>
          </w:p>
        </w:tc>
        <w:tc>
          <w:tcPr>
            <w:tcW w:w="0" w:type="auto"/>
            <w:vAlign w:val="center"/>
          </w:tcPr>
          <w:p w:rsidR="002C455A" w:rsidRDefault="002C455A" w:rsidP="002C455A">
            <w:pPr>
              <w:jc w:val="center"/>
            </w:pPr>
            <w:r>
              <w:t>$242.68m</w:t>
            </w:r>
          </w:p>
        </w:tc>
      </w:tr>
      <w:tr w:rsidR="002C455A" w:rsidTr="002C455A">
        <w:trPr>
          <w:trHeight w:val="265"/>
          <w:jc w:val="center"/>
        </w:trPr>
        <w:tc>
          <w:tcPr>
            <w:tcW w:w="0" w:type="auto"/>
            <w:vAlign w:val="center"/>
          </w:tcPr>
          <w:p w:rsidR="002C455A" w:rsidRDefault="002C455A" w:rsidP="002C455A">
            <w:pPr>
              <w:jc w:val="center"/>
            </w:pPr>
            <w:r>
              <w:t>Facebook</w:t>
            </w:r>
          </w:p>
        </w:tc>
        <w:tc>
          <w:tcPr>
            <w:tcW w:w="0" w:type="auto"/>
            <w:vAlign w:val="center"/>
          </w:tcPr>
          <w:p w:rsidR="002C455A" w:rsidRDefault="002C455A" w:rsidP="002C455A">
            <w:pPr>
              <w:jc w:val="center"/>
            </w:pPr>
            <w:r>
              <w:t>$1,060m</w:t>
            </w:r>
          </w:p>
        </w:tc>
        <w:tc>
          <w:tcPr>
            <w:tcW w:w="0" w:type="auto"/>
            <w:vAlign w:val="center"/>
          </w:tcPr>
          <w:p w:rsidR="002C455A" w:rsidRDefault="002C455A" w:rsidP="002C455A">
            <w:pPr>
              <w:jc w:val="center"/>
            </w:pPr>
            <w:r>
              <w:t>$60.75</w:t>
            </w:r>
          </w:p>
        </w:tc>
        <w:tc>
          <w:tcPr>
            <w:tcW w:w="0" w:type="auto"/>
            <w:vAlign w:val="center"/>
          </w:tcPr>
          <w:p w:rsidR="002C455A" w:rsidRDefault="002C455A" w:rsidP="002C455A">
            <w:pPr>
              <w:jc w:val="center"/>
            </w:pPr>
            <w:r>
              <w:t>1,292.6m</w:t>
            </w:r>
          </w:p>
        </w:tc>
        <w:tc>
          <w:tcPr>
            <w:tcW w:w="0" w:type="auto"/>
            <w:vAlign w:val="center"/>
          </w:tcPr>
          <w:p w:rsidR="002C455A" w:rsidRDefault="002C455A" w:rsidP="002C455A">
            <w:pPr>
              <w:jc w:val="center"/>
            </w:pPr>
            <w:r>
              <w:t>$5,725.05m</w:t>
            </w:r>
          </w:p>
        </w:tc>
      </w:tr>
      <w:tr w:rsidR="002C455A" w:rsidTr="002C455A">
        <w:trPr>
          <w:trHeight w:val="265"/>
          <w:jc w:val="center"/>
        </w:trPr>
        <w:tc>
          <w:tcPr>
            <w:tcW w:w="0" w:type="auto"/>
            <w:vAlign w:val="center"/>
          </w:tcPr>
          <w:p w:rsidR="002C455A" w:rsidRDefault="002C455A" w:rsidP="002C455A">
            <w:pPr>
              <w:jc w:val="center"/>
            </w:pPr>
            <w:r>
              <w:t>LinkedIn</w:t>
            </w:r>
          </w:p>
        </w:tc>
        <w:tc>
          <w:tcPr>
            <w:tcW w:w="0" w:type="auto"/>
            <w:vAlign w:val="center"/>
          </w:tcPr>
          <w:p w:rsidR="002C455A" w:rsidRDefault="002C455A" w:rsidP="002C455A">
            <w:pPr>
              <w:jc w:val="center"/>
            </w:pPr>
            <w:r>
              <w:t>$259m</w:t>
            </w:r>
          </w:p>
        </w:tc>
        <w:tc>
          <w:tcPr>
            <w:tcW w:w="0" w:type="auto"/>
            <w:vAlign w:val="center"/>
          </w:tcPr>
          <w:p w:rsidR="002C455A" w:rsidRDefault="002C455A" w:rsidP="002C455A">
            <w:pPr>
              <w:jc w:val="center"/>
            </w:pPr>
            <w:r>
              <w:t>$19.05b</w:t>
            </w:r>
          </w:p>
        </w:tc>
        <w:tc>
          <w:tcPr>
            <w:tcW w:w="0" w:type="auto"/>
            <w:vAlign w:val="center"/>
          </w:tcPr>
          <w:p w:rsidR="002C455A" w:rsidRDefault="002C455A" w:rsidP="002C455A">
            <w:pPr>
              <w:jc w:val="center"/>
            </w:pPr>
            <w:r>
              <w:t>90.7m</w:t>
            </w:r>
          </w:p>
        </w:tc>
        <w:tc>
          <w:tcPr>
            <w:tcW w:w="0" w:type="auto"/>
            <w:vAlign w:val="center"/>
          </w:tcPr>
          <w:p w:rsidR="002C455A" w:rsidRDefault="002C455A" w:rsidP="002C455A">
            <w:pPr>
              <w:jc w:val="center"/>
            </w:pPr>
            <w:r>
              <w:t>$634.74m</w:t>
            </w:r>
          </w:p>
        </w:tc>
      </w:tr>
    </w:tbl>
    <w:p w:rsidR="002C455A" w:rsidRDefault="002C455A" w:rsidP="00C408FC">
      <w:pPr>
        <w:jc w:val="both"/>
      </w:pPr>
    </w:p>
    <w:p w:rsidR="002C455A" w:rsidRDefault="007B2F4D" w:rsidP="00C408FC">
      <w:pPr>
        <w:jc w:val="both"/>
      </w:pPr>
      <w:r w:rsidRPr="006443F3">
        <w:rPr>
          <w:position w:val="-118"/>
        </w:rPr>
        <w:object w:dxaOrig="9160" w:dyaOrig="2480" w14:anchorId="12F4F620">
          <v:shape id="_x0000_i1030" type="#_x0000_t75" style="width:459pt;height:123.75pt" o:ole="">
            <v:imagedata r:id="rId35" o:title=""/>
          </v:shape>
          <o:OLEObject Type="Embed" ProgID="Equation.3" ShapeID="_x0000_i1030" DrawAspect="Content" ObjectID="_1854575661" r:id="rId36"/>
        </w:object>
      </w:r>
    </w:p>
    <w:tbl>
      <w:tblPr>
        <w:tblStyle w:val="Tablaconcuadrcula"/>
        <w:tblW w:w="0" w:type="auto"/>
        <w:tblLook w:val="04A0" w:firstRow="1" w:lastRow="0" w:firstColumn="1" w:lastColumn="0" w:noHBand="0" w:noVBand="1"/>
      </w:tblPr>
      <w:tblGrid>
        <w:gridCol w:w="4508"/>
        <w:gridCol w:w="4508"/>
      </w:tblGrid>
      <w:tr w:rsidR="00532964" w:rsidTr="00532964">
        <w:tc>
          <w:tcPr>
            <w:tcW w:w="4508" w:type="dxa"/>
            <w:vAlign w:val="center"/>
          </w:tcPr>
          <w:p w:rsidR="00532964" w:rsidRDefault="00532964" w:rsidP="00532964">
            <w:pPr>
              <w:jc w:val="center"/>
            </w:pPr>
            <w:r>
              <w:t>Price Sales</w:t>
            </w:r>
          </w:p>
        </w:tc>
        <w:tc>
          <w:tcPr>
            <w:tcW w:w="4508" w:type="dxa"/>
            <w:vAlign w:val="center"/>
          </w:tcPr>
          <w:p w:rsidR="00532964" w:rsidRDefault="00532964" w:rsidP="00532964">
            <w:pPr>
              <w:jc w:val="center"/>
            </w:pPr>
            <w:r>
              <w:t>Price per MAU</w:t>
            </w:r>
          </w:p>
        </w:tc>
      </w:tr>
      <w:tr w:rsidR="00532964" w:rsidTr="00532964">
        <w:tc>
          <w:tcPr>
            <w:tcW w:w="4508" w:type="dxa"/>
            <w:vAlign w:val="center"/>
          </w:tcPr>
          <w:p w:rsidR="00532964" w:rsidRDefault="00532964" w:rsidP="00532964">
            <w:pPr>
              <w:jc w:val="center"/>
            </w:pPr>
            <w:r w:rsidRPr="000E1C9C">
              <w:rPr>
                <w:position w:val="-186"/>
              </w:rPr>
              <w:object w:dxaOrig="3580" w:dyaOrig="3840" w14:anchorId="2BE6D8AB">
                <v:shape id="_x0000_i1031" type="#_x0000_t75" style="width:179.25pt;height:191.25pt" o:ole="">
                  <v:imagedata r:id="rId37" o:title=""/>
                </v:shape>
                <o:OLEObject Type="Embed" ProgID="Equation.3" ShapeID="_x0000_i1031" DrawAspect="Content" ObjectID="_1854575662" r:id="rId38"/>
              </w:object>
            </w:r>
          </w:p>
        </w:tc>
        <w:tc>
          <w:tcPr>
            <w:tcW w:w="4508" w:type="dxa"/>
            <w:vAlign w:val="center"/>
          </w:tcPr>
          <w:p w:rsidR="00532964" w:rsidRDefault="00532964" w:rsidP="00532964">
            <w:pPr>
              <w:jc w:val="center"/>
            </w:pPr>
            <w:r w:rsidRPr="000E1C9C">
              <w:rPr>
                <w:position w:val="-222"/>
              </w:rPr>
              <w:object w:dxaOrig="3460" w:dyaOrig="4560" w14:anchorId="2CBD560C">
                <v:shape id="_x0000_i1032" type="#_x0000_t75" style="width:173.25pt;height:227.25pt" o:ole="">
                  <v:imagedata r:id="rId39" o:title=""/>
                </v:shape>
                <o:OLEObject Type="Embed" ProgID="Equation.3" ShapeID="_x0000_i1032" DrawAspect="Content" ObjectID="_1854575663" r:id="rId40"/>
              </w:object>
            </w:r>
          </w:p>
        </w:tc>
      </w:tr>
    </w:tbl>
    <w:p w:rsidR="006443F3" w:rsidRDefault="006443F3" w:rsidP="00C408FC">
      <w:pPr>
        <w:jc w:val="both"/>
      </w:pPr>
    </w:p>
    <w:p w:rsidR="006443F3" w:rsidRDefault="006443F3" w:rsidP="006443F3">
      <w:pPr>
        <w:jc w:val="center"/>
      </w:pPr>
    </w:p>
    <w:p w:rsidR="006443F3" w:rsidRDefault="006443F3" w:rsidP="006443F3">
      <w:pPr>
        <w:jc w:val="both"/>
      </w:pPr>
      <w:r>
        <w:t>A brief conclusion is that the IPO price was close to the DCF valuation ($26 vs $2</w:t>
      </w:r>
      <w:r w:rsidR="00DB6F1B">
        <w:t>4.</w:t>
      </w:r>
      <w:r w:rsidR="00532964">
        <w:t>42</w:t>
      </w:r>
      <w:r>
        <w:t>), but within a day went up to the overall average relative valuation price ($46 vs $42.76)</w:t>
      </w:r>
      <w:r w:rsidR="00D94AE4">
        <w:t>. On the long term the price seems to be moving to relative valuation average of $54.63 (current market price is $55.4</w:t>
      </w:r>
      <w:r w:rsidR="005C6DA1">
        <w:t xml:space="preserve"> in March 2014</w:t>
      </w:r>
      <w:r w:rsidR="00D94AE4">
        <w:t>). A major reason of mis-pricing seems to be the big surprise in FB’s revenue. Please note that trailing revenue for 2013 was $</w:t>
      </w:r>
      <w:r w:rsidR="00D94AE4" w:rsidRPr="00ED1A71">
        <w:rPr>
          <w:position w:val="-10"/>
        </w:rPr>
        <w:object w:dxaOrig="1080" w:dyaOrig="320" w14:anchorId="0D76A631">
          <v:shape id="_x0000_i1033" type="#_x0000_t75" style="width:54.75pt;height:15.75pt" o:ole="">
            <v:imagedata r:id="rId41" o:title=""/>
          </v:shape>
          <o:OLEObject Type="Embed" ProgID="Equation.3" ShapeID="_x0000_i1033" DrawAspect="Content" ObjectID="_1854575664" r:id="rId42"/>
        </w:object>
      </w:r>
      <w:r w:rsidR="00D94AE4">
        <w:t>, while the actual was $7,872m. This appears to be the main determinant for the all-time high of $73.31 for Twitter earlier in 2014, as well as for the sharp increase towards the end of 2013.</w:t>
      </w:r>
    </w:p>
    <w:p w:rsidR="00605B09" w:rsidRDefault="00605B09">
      <w:r>
        <w:br w:type="page"/>
      </w:r>
    </w:p>
    <w:p w:rsidR="00605B09" w:rsidRPr="00201BC8" w:rsidRDefault="00605B09" w:rsidP="006443F3">
      <w:pPr>
        <w:jc w:val="both"/>
        <w:rPr>
          <w:b/>
        </w:rPr>
      </w:pPr>
      <w:r w:rsidRPr="00201BC8">
        <w:rPr>
          <w:b/>
        </w:rPr>
        <w:t>Valuation March 2017</w:t>
      </w:r>
    </w:p>
    <w:p w:rsidR="00605B09" w:rsidRDefault="00605B09" w:rsidP="006443F3">
      <w:pPr>
        <w:jc w:val="both"/>
      </w:pPr>
      <w:r>
        <w:t>Here we will try to evaluate Twitter in March 2017</w:t>
      </w:r>
      <w:r w:rsidR="00E95628" w:rsidRPr="00E95628">
        <w:t xml:space="preserve"> </w:t>
      </w:r>
      <w:r w:rsidR="00E95628">
        <w:t>(current Price is $14.50)</w:t>
      </w:r>
      <w:r>
        <w:t>, using a slightly different approach (mainly for presentation purposes), by borrowing analysts estimates for almost all the figures we are using. First, we will perform a relative valuation and all statistics are taken from EIKON. The peers we considered are first, defined by EIKON, and second, we replace LinkedIn by Snapchat Inc., because the first was acquired by Microsoft, while the second was recently listed.</w:t>
      </w:r>
    </w:p>
    <w:tbl>
      <w:tblPr>
        <w:tblStyle w:val="Tablaconcuadrcula"/>
        <w:tblW w:w="0" w:type="auto"/>
        <w:jc w:val="center"/>
        <w:tblLook w:val="04A0" w:firstRow="1" w:lastRow="0" w:firstColumn="1" w:lastColumn="0" w:noHBand="0" w:noVBand="1"/>
      </w:tblPr>
      <w:tblGrid>
        <w:gridCol w:w="1151"/>
        <w:gridCol w:w="838"/>
        <w:gridCol w:w="1063"/>
        <w:gridCol w:w="1005"/>
        <w:gridCol w:w="857"/>
        <w:gridCol w:w="857"/>
        <w:gridCol w:w="1173"/>
      </w:tblGrid>
      <w:tr w:rsidR="002C1061" w:rsidTr="002C1061">
        <w:trPr>
          <w:jc w:val="center"/>
        </w:trPr>
        <w:tc>
          <w:tcPr>
            <w:tcW w:w="1151" w:type="dxa"/>
            <w:vAlign w:val="center"/>
          </w:tcPr>
          <w:p w:rsidR="002C1061" w:rsidRDefault="002C1061" w:rsidP="002C1061">
            <w:pPr>
              <w:jc w:val="center"/>
            </w:pPr>
            <w:r>
              <w:t>Company</w:t>
            </w:r>
          </w:p>
        </w:tc>
        <w:tc>
          <w:tcPr>
            <w:tcW w:w="838" w:type="dxa"/>
            <w:vAlign w:val="center"/>
          </w:tcPr>
          <w:p w:rsidR="002C1061" w:rsidRDefault="002C1061" w:rsidP="002C1061">
            <w:pPr>
              <w:jc w:val="center"/>
            </w:pPr>
            <w:r>
              <w:t>MAU</w:t>
            </w:r>
          </w:p>
        </w:tc>
        <w:tc>
          <w:tcPr>
            <w:tcW w:w="1063" w:type="dxa"/>
            <w:vAlign w:val="center"/>
          </w:tcPr>
          <w:p w:rsidR="002C1061" w:rsidRDefault="002C1061" w:rsidP="002C1061">
            <w:pPr>
              <w:jc w:val="center"/>
            </w:pPr>
            <w:r>
              <w:t>MCAP</w:t>
            </w:r>
          </w:p>
        </w:tc>
        <w:tc>
          <w:tcPr>
            <w:tcW w:w="1005" w:type="dxa"/>
            <w:vAlign w:val="center"/>
          </w:tcPr>
          <w:p w:rsidR="002C1061" w:rsidRDefault="002C1061" w:rsidP="002C1061">
            <w:pPr>
              <w:jc w:val="center"/>
            </w:pPr>
            <w:r>
              <w:t>#shares</w:t>
            </w:r>
          </w:p>
        </w:tc>
        <w:tc>
          <w:tcPr>
            <w:tcW w:w="857" w:type="dxa"/>
            <w:vAlign w:val="center"/>
          </w:tcPr>
          <w:p w:rsidR="002C1061" w:rsidRDefault="002C1061" w:rsidP="002C1061">
            <w:pPr>
              <w:jc w:val="center"/>
            </w:pPr>
            <w:r>
              <w:t>P/E</w:t>
            </w:r>
          </w:p>
        </w:tc>
        <w:tc>
          <w:tcPr>
            <w:tcW w:w="857" w:type="dxa"/>
            <w:vAlign w:val="center"/>
          </w:tcPr>
          <w:p w:rsidR="002C1061" w:rsidRDefault="002C1061" w:rsidP="002C1061">
            <w:pPr>
              <w:jc w:val="center"/>
            </w:pPr>
            <w:r>
              <w:t>P/S</w:t>
            </w:r>
          </w:p>
        </w:tc>
        <w:tc>
          <w:tcPr>
            <w:tcW w:w="1173" w:type="dxa"/>
            <w:vAlign w:val="center"/>
          </w:tcPr>
          <w:p w:rsidR="002C1061" w:rsidRDefault="002C1061" w:rsidP="002C1061">
            <w:pPr>
              <w:jc w:val="center"/>
            </w:pPr>
            <w:r>
              <w:t>Revenue</w:t>
            </w:r>
          </w:p>
        </w:tc>
      </w:tr>
      <w:tr w:rsidR="002C1061" w:rsidTr="002C1061">
        <w:trPr>
          <w:jc w:val="center"/>
        </w:trPr>
        <w:tc>
          <w:tcPr>
            <w:tcW w:w="1151" w:type="dxa"/>
            <w:vAlign w:val="center"/>
          </w:tcPr>
          <w:p w:rsidR="002C1061" w:rsidRDefault="002C1061" w:rsidP="002C1061">
            <w:pPr>
              <w:jc w:val="center"/>
            </w:pPr>
            <w:r>
              <w:t>Twitter</w:t>
            </w:r>
          </w:p>
        </w:tc>
        <w:tc>
          <w:tcPr>
            <w:tcW w:w="838" w:type="dxa"/>
            <w:vAlign w:val="center"/>
          </w:tcPr>
          <w:p w:rsidR="002C1061" w:rsidRDefault="002C1061" w:rsidP="002C1061">
            <w:pPr>
              <w:jc w:val="center"/>
            </w:pPr>
            <w:r>
              <w:t>319m</w:t>
            </w:r>
          </w:p>
        </w:tc>
        <w:tc>
          <w:tcPr>
            <w:tcW w:w="1063" w:type="dxa"/>
            <w:vAlign w:val="center"/>
          </w:tcPr>
          <w:p w:rsidR="002C1061" w:rsidRDefault="002C1061" w:rsidP="002C1061">
            <w:pPr>
              <w:jc w:val="center"/>
            </w:pPr>
            <w:r>
              <w:t>$10.97b</w:t>
            </w:r>
          </w:p>
        </w:tc>
        <w:tc>
          <w:tcPr>
            <w:tcW w:w="1005" w:type="dxa"/>
            <w:vAlign w:val="center"/>
          </w:tcPr>
          <w:p w:rsidR="002C1061" w:rsidRDefault="002C1061" w:rsidP="002C1061">
            <w:pPr>
              <w:jc w:val="center"/>
            </w:pPr>
            <w:r>
              <w:t>726.89m</w:t>
            </w:r>
          </w:p>
        </w:tc>
        <w:tc>
          <w:tcPr>
            <w:tcW w:w="857" w:type="dxa"/>
            <w:vAlign w:val="center"/>
          </w:tcPr>
          <w:p w:rsidR="002C1061" w:rsidRDefault="002C1061" w:rsidP="002C1061">
            <w:pPr>
              <w:jc w:val="center"/>
            </w:pPr>
            <w:r>
              <w:t>-</w:t>
            </w:r>
          </w:p>
        </w:tc>
        <w:tc>
          <w:tcPr>
            <w:tcW w:w="857" w:type="dxa"/>
            <w:vAlign w:val="center"/>
          </w:tcPr>
          <w:p w:rsidR="002C1061" w:rsidRDefault="002C1061" w:rsidP="002C1061">
            <w:pPr>
              <w:jc w:val="center"/>
            </w:pPr>
            <w:r>
              <w:t>-</w:t>
            </w:r>
          </w:p>
        </w:tc>
        <w:tc>
          <w:tcPr>
            <w:tcW w:w="1173" w:type="dxa"/>
            <w:vAlign w:val="center"/>
          </w:tcPr>
          <w:p w:rsidR="002C1061" w:rsidRDefault="002C1061" w:rsidP="002C1061">
            <w:pPr>
              <w:jc w:val="center"/>
            </w:pPr>
            <w:r>
              <w:t>$2.53b</w:t>
            </w:r>
          </w:p>
        </w:tc>
      </w:tr>
      <w:tr w:rsidR="002C1061" w:rsidTr="002C1061">
        <w:trPr>
          <w:jc w:val="center"/>
        </w:trPr>
        <w:tc>
          <w:tcPr>
            <w:tcW w:w="1151" w:type="dxa"/>
            <w:vAlign w:val="center"/>
          </w:tcPr>
          <w:p w:rsidR="002C1061" w:rsidRDefault="002C1061" w:rsidP="002C1061">
            <w:pPr>
              <w:jc w:val="center"/>
            </w:pPr>
            <w:r>
              <w:t>Facebook</w:t>
            </w:r>
          </w:p>
        </w:tc>
        <w:tc>
          <w:tcPr>
            <w:tcW w:w="838" w:type="dxa"/>
            <w:vAlign w:val="center"/>
          </w:tcPr>
          <w:p w:rsidR="002C1061" w:rsidRDefault="002C1061" w:rsidP="002C1061">
            <w:pPr>
              <w:jc w:val="center"/>
            </w:pPr>
            <w:r>
              <w:t>1.86b</w:t>
            </w:r>
          </w:p>
        </w:tc>
        <w:tc>
          <w:tcPr>
            <w:tcW w:w="1063" w:type="dxa"/>
            <w:vAlign w:val="center"/>
          </w:tcPr>
          <w:p w:rsidR="002C1061" w:rsidRDefault="002C1061" w:rsidP="002C1061">
            <w:pPr>
              <w:jc w:val="center"/>
            </w:pPr>
            <w:r>
              <w:t>$404.42b</w:t>
            </w:r>
          </w:p>
        </w:tc>
        <w:tc>
          <w:tcPr>
            <w:tcW w:w="1005" w:type="dxa"/>
            <w:vAlign w:val="center"/>
          </w:tcPr>
          <w:p w:rsidR="002C1061" w:rsidRDefault="002C1061" w:rsidP="002C1061">
            <w:pPr>
              <w:jc w:val="center"/>
            </w:pPr>
          </w:p>
        </w:tc>
        <w:tc>
          <w:tcPr>
            <w:tcW w:w="857" w:type="dxa"/>
            <w:vAlign w:val="center"/>
          </w:tcPr>
          <w:p w:rsidR="002C1061" w:rsidRDefault="002C1061" w:rsidP="002C1061">
            <w:pPr>
              <w:jc w:val="center"/>
            </w:pPr>
            <w:r>
              <w:t>40.6</w:t>
            </w:r>
          </w:p>
        </w:tc>
        <w:tc>
          <w:tcPr>
            <w:tcW w:w="857" w:type="dxa"/>
            <w:vAlign w:val="center"/>
          </w:tcPr>
          <w:p w:rsidR="002C1061" w:rsidRDefault="002C1061" w:rsidP="002C1061">
            <w:pPr>
              <w:jc w:val="center"/>
            </w:pPr>
            <w:r>
              <w:t>14.63</w:t>
            </w:r>
          </w:p>
        </w:tc>
        <w:tc>
          <w:tcPr>
            <w:tcW w:w="1173" w:type="dxa"/>
            <w:vAlign w:val="center"/>
          </w:tcPr>
          <w:p w:rsidR="002C1061" w:rsidRDefault="002C1061" w:rsidP="002C1061">
            <w:pPr>
              <w:jc w:val="center"/>
            </w:pPr>
            <w:r>
              <w:t>$27.64b</w:t>
            </w:r>
          </w:p>
        </w:tc>
      </w:tr>
      <w:tr w:rsidR="002C1061" w:rsidTr="002C1061">
        <w:trPr>
          <w:jc w:val="center"/>
        </w:trPr>
        <w:tc>
          <w:tcPr>
            <w:tcW w:w="1151" w:type="dxa"/>
            <w:vAlign w:val="center"/>
          </w:tcPr>
          <w:p w:rsidR="002C1061" w:rsidRDefault="002C1061" w:rsidP="002C1061">
            <w:pPr>
              <w:jc w:val="center"/>
            </w:pPr>
            <w:r>
              <w:t>Snapchat</w:t>
            </w:r>
          </w:p>
        </w:tc>
        <w:tc>
          <w:tcPr>
            <w:tcW w:w="838" w:type="dxa"/>
            <w:vAlign w:val="center"/>
          </w:tcPr>
          <w:p w:rsidR="002C1061" w:rsidRDefault="002C1061" w:rsidP="002C1061">
            <w:pPr>
              <w:jc w:val="center"/>
            </w:pPr>
            <w:r>
              <w:t>301</w:t>
            </w:r>
          </w:p>
        </w:tc>
        <w:tc>
          <w:tcPr>
            <w:tcW w:w="1063" w:type="dxa"/>
            <w:vAlign w:val="center"/>
          </w:tcPr>
          <w:p w:rsidR="002C1061" w:rsidRDefault="002C1061" w:rsidP="002C1061">
            <w:pPr>
              <w:jc w:val="center"/>
            </w:pPr>
            <w:r>
              <w:t>$23.66b</w:t>
            </w:r>
          </w:p>
        </w:tc>
        <w:tc>
          <w:tcPr>
            <w:tcW w:w="1005" w:type="dxa"/>
            <w:vAlign w:val="center"/>
          </w:tcPr>
          <w:p w:rsidR="002C1061" w:rsidRDefault="002C1061" w:rsidP="002C1061">
            <w:pPr>
              <w:jc w:val="center"/>
            </w:pPr>
            <w:r>
              <w:t>1.19b</w:t>
            </w:r>
          </w:p>
        </w:tc>
        <w:tc>
          <w:tcPr>
            <w:tcW w:w="857" w:type="dxa"/>
            <w:vAlign w:val="center"/>
          </w:tcPr>
          <w:p w:rsidR="002C1061" w:rsidRDefault="002C1061" w:rsidP="002C1061">
            <w:pPr>
              <w:jc w:val="center"/>
            </w:pPr>
            <w:r>
              <w:t>&lt;0</w:t>
            </w:r>
          </w:p>
        </w:tc>
        <w:tc>
          <w:tcPr>
            <w:tcW w:w="857" w:type="dxa"/>
            <w:vAlign w:val="center"/>
          </w:tcPr>
          <w:p w:rsidR="002C1061" w:rsidRDefault="002C1061" w:rsidP="002C1061">
            <w:pPr>
              <w:jc w:val="center"/>
            </w:pPr>
            <w:r>
              <w:t>58.50</w:t>
            </w:r>
          </w:p>
        </w:tc>
        <w:tc>
          <w:tcPr>
            <w:tcW w:w="1173" w:type="dxa"/>
            <w:vAlign w:val="center"/>
          </w:tcPr>
          <w:p w:rsidR="002C1061" w:rsidRDefault="002C1061" w:rsidP="002C1061">
            <w:pPr>
              <w:jc w:val="center"/>
            </w:pPr>
            <w:r>
              <w:t>$404.48m</w:t>
            </w:r>
          </w:p>
        </w:tc>
      </w:tr>
      <w:tr w:rsidR="002C1061" w:rsidTr="002C1061">
        <w:trPr>
          <w:jc w:val="center"/>
        </w:trPr>
        <w:tc>
          <w:tcPr>
            <w:tcW w:w="1151" w:type="dxa"/>
            <w:vAlign w:val="center"/>
          </w:tcPr>
          <w:p w:rsidR="002C1061" w:rsidRDefault="002C1061" w:rsidP="002C1061">
            <w:pPr>
              <w:jc w:val="center"/>
            </w:pPr>
            <w:r>
              <w:t>Industry Average</w:t>
            </w:r>
          </w:p>
        </w:tc>
        <w:tc>
          <w:tcPr>
            <w:tcW w:w="838" w:type="dxa"/>
            <w:vAlign w:val="center"/>
          </w:tcPr>
          <w:p w:rsidR="002C1061" w:rsidRDefault="002C1061" w:rsidP="002C1061">
            <w:pPr>
              <w:jc w:val="center"/>
            </w:pPr>
          </w:p>
        </w:tc>
        <w:tc>
          <w:tcPr>
            <w:tcW w:w="1063" w:type="dxa"/>
            <w:vAlign w:val="center"/>
          </w:tcPr>
          <w:p w:rsidR="002C1061" w:rsidRDefault="002C1061" w:rsidP="002C1061">
            <w:pPr>
              <w:jc w:val="center"/>
            </w:pPr>
          </w:p>
        </w:tc>
        <w:tc>
          <w:tcPr>
            <w:tcW w:w="1005" w:type="dxa"/>
            <w:vAlign w:val="center"/>
          </w:tcPr>
          <w:p w:rsidR="002C1061" w:rsidRDefault="002C1061" w:rsidP="002C1061">
            <w:pPr>
              <w:jc w:val="center"/>
            </w:pPr>
          </w:p>
        </w:tc>
        <w:tc>
          <w:tcPr>
            <w:tcW w:w="857" w:type="dxa"/>
            <w:vAlign w:val="center"/>
          </w:tcPr>
          <w:p w:rsidR="002C1061" w:rsidRDefault="002C1061" w:rsidP="002C1061">
            <w:pPr>
              <w:jc w:val="center"/>
            </w:pPr>
            <w:r>
              <w:t>24.1</w:t>
            </w:r>
          </w:p>
        </w:tc>
        <w:tc>
          <w:tcPr>
            <w:tcW w:w="857" w:type="dxa"/>
            <w:vAlign w:val="center"/>
          </w:tcPr>
          <w:p w:rsidR="002C1061" w:rsidRDefault="002C1061" w:rsidP="002C1061">
            <w:pPr>
              <w:jc w:val="center"/>
            </w:pPr>
            <w:r>
              <w:t>13.06</w:t>
            </w:r>
          </w:p>
        </w:tc>
        <w:tc>
          <w:tcPr>
            <w:tcW w:w="1173" w:type="dxa"/>
            <w:vAlign w:val="center"/>
          </w:tcPr>
          <w:p w:rsidR="002C1061" w:rsidRDefault="002C1061" w:rsidP="002C1061">
            <w:pPr>
              <w:jc w:val="center"/>
            </w:pPr>
            <w:r>
              <w:t>$1.51b</w:t>
            </w:r>
          </w:p>
        </w:tc>
      </w:tr>
      <w:tr w:rsidR="002C1061" w:rsidTr="002C1061">
        <w:trPr>
          <w:jc w:val="center"/>
        </w:trPr>
        <w:tc>
          <w:tcPr>
            <w:tcW w:w="1151" w:type="dxa"/>
            <w:vAlign w:val="center"/>
          </w:tcPr>
          <w:p w:rsidR="002C1061" w:rsidRDefault="002C1061" w:rsidP="002C1061">
            <w:pPr>
              <w:jc w:val="center"/>
            </w:pPr>
            <w:r>
              <w:t>Industry Median</w:t>
            </w:r>
          </w:p>
        </w:tc>
        <w:tc>
          <w:tcPr>
            <w:tcW w:w="838" w:type="dxa"/>
            <w:vAlign w:val="center"/>
          </w:tcPr>
          <w:p w:rsidR="002C1061" w:rsidRDefault="002C1061" w:rsidP="002C1061">
            <w:pPr>
              <w:jc w:val="center"/>
            </w:pPr>
          </w:p>
        </w:tc>
        <w:tc>
          <w:tcPr>
            <w:tcW w:w="1063" w:type="dxa"/>
            <w:vAlign w:val="center"/>
          </w:tcPr>
          <w:p w:rsidR="002C1061" w:rsidRDefault="002C1061" w:rsidP="002C1061">
            <w:pPr>
              <w:jc w:val="center"/>
            </w:pPr>
          </w:p>
        </w:tc>
        <w:tc>
          <w:tcPr>
            <w:tcW w:w="1005" w:type="dxa"/>
            <w:vAlign w:val="center"/>
          </w:tcPr>
          <w:p w:rsidR="002C1061" w:rsidRDefault="002C1061" w:rsidP="002C1061">
            <w:pPr>
              <w:jc w:val="center"/>
            </w:pPr>
          </w:p>
        </w:tc>
        <w:tc>
          <w:tcPr>
            <w:tcW w:w="857" w:type="dxa"/>
            <w:vAlign w:val="center"/>
          </w:tcPr>
          <w:p w:rsidR="002C1061" w:rsidRDefault="002C1061" w:rsidP="002C1061">
            <w:pPr>
              <w:jc w:val="center"/>
            </w:pPr>
            <w:r>
              <w:t>25.55</w:t>
            </w:r>
          </w:p>
        </w:tc>
        <w:tc>
          <w:tcPr>
            <w:tcW w:w="857" w:type="dxa"/>
            <w:vAlign w:val="center"/>
          </w:tcPr>
          <w:p w:rsidR="002C1061" w:rsidRDefault="002C1061" w:rsidP="002C1061">
            <w:pPr>
              <w:jc w:val="center"/>
            </w:pPr>
            <w:r>
              <w:t>3.40</w:t>
            </w:r>
          </w:p>
        </w:tc>
        <w:tc>
          <w:tcPr>
            <w:tcW w:w="1173" w:type="dxa"/>
            <w:vAlign w:val="center"/>
          </w:tcPr>
          <w:p w:rsidR="002C1061" w:rsidRDefault="002C1061" w:rsidP="002C1061">
            <w:pPr>
              <w:jc w:val="center"/>
            </w:pPr>
            <w:r>
              <w:t>$981,960</w:t>
            </w:r>
          </w:p>
        </w:tc>
      </w:tr>
      <w:tr w:rsidR="002C1061" w:rsidTr="002C1061">
        <w:trPr>
          <w:jc w:val="center"/>
        </w:trPr>
        <w:tc>
          <w:tcPr>
            <w:tcW w:w="1151" w:type="dxa"/>
            <w:vAlign w:val="center"/>
          </w:tcPr>
          <w:p w:rsidR="002C1061" w:rsidRDefault="002C1061" w:rsidP="002C1061">
            <w:pPr>
              <w:jc w:val="center"/>
            </w:pPr>
          </w:p>
        </w:tc>
        <w:tc>
          <w:tcPr>
            <w:tcW w:w="838" w:type="dxa"/>
            <w:vAlign w:val="center"/>
          </w:tcPr>
          <w:p w:rsidR="002C1061" w:rsidRDefault="002C1061" w:rsidP="002C1061">
            <w:pPr>
              <w:jc w:val="center"/>
            </w:pPr>
          </w:p>
        </w:tc>
        <w:tc>
          <w:tcPr>
            <w:tcW w:w="1063" w:type="dxa"/>
            <w:vAlign w:val="center"/>
          </w:tcPr>
          <w:p w:rsidR="002C1061" w:rsidRDefault="002C1061" w:rsidP="002C1061">
            <w:pPr>
              <w:jc w:val="center"/>
            </w:pPr>
          </w:p>
        </w:tc>
        <w:tc>
          <w:tcPr>
            <w:tcW w:w="1005" w:type="dxa"/>
            <w:vAlign w:val="center"/>
          </w:tcPr>
          <w:p w:rsidR="002C1061" w:rsidRDefault="002C1061" w:rsidP="002C1061">
            <w:pPr>
              <w:jc w:val="center"/>
            </w:pPr>
          </w:p>
        </w:tc>
        <w:tc>
          <w:tcPr>
            <w:tcW w:w="857" w:type="dxa"/>
            <w:vAlign w:val="center"/>
          </w:tcPr>
          <w:p w:rsidR="002C1061" w:rsidRDefault="002C1061" w:rsidP="002C1061">
            <w:pPr>
              <w:jc w:val="center"/>
            </w:pPr>
          </w:p>
        </w:tc>
        <w:tc>
          <w:tcPr>
            <w:tcW w:w="857" w:type="dxa"/>
            <w:vAlign w:val="center"/>
          </w:tcPr>
          <w:p w:rsidR="002C1061" w:rsidRDefault="002C1061" w:rsidP="002C1061">
            <w:pPr>
              <w:jc w:val="center"/>
            </w:pPr>
          </w:p>
        </w:tc>
        <w:tc>
          <w:tcPr>
            <w:tcW w:w="1173" w:type="dxa"/>
            <w:vAlign w:val="center"/>
          </w:tcPr>
          <w:p w:rsidR="002C1061" w:rsidRDefault="002C1061" w:rsidP="002C1061">
            <w:pPr>
              <w:jc w:val="center"/>
            </w:pPr>
          </w:p>
        </w:tc>
      </w:tr>
    </w:tbl>
    <w:p w:rsidR="00605B09" w:rsidRDefault="002C1061" w:rsidP="006443F3">
      <w:pPr>
        <w:jc w:val="both"/>
      </w:pPr>
      <w:r>
        <w:t>Net capital expenditure, WC needs, Operating margins and cost of capital are taken from industry (Software-Internet) averages for the US market from</w:t>
      </w:r>
      <w:r w:rsidR="00AE2A04">
        <w:t xml:space="preserve"> (2017)</w:t>
      </w:r>
      <w:r>
        <w:t xml:space="preserve"> </w:t>
      </w:r>
      <w:hyperlink r:id="rId43" w:anchor="industry" w:history="1">
        <w:r w:rsidRPr="002C1061">
          <w:rPr>
            <w:rStyle w:val="Hipervnculo"/>
          </w:rPr>
          <w:t>here</w:t>
        </w:r>
      </w:hyperlink>
      <w:r>
        <w:t>.</w:t>
      </w:r>
    </w:p>
    <w:tbl>
      <w:tblPr>
        <w:tblStyle w:val="Tablaconcuadrcula"/>
        <w:tblW w:w="0" w:type="auto"/>
        <w:jc w:val="center"/>
        <w:tblLook w:val="04A0" w:firstRow="1" w:lastRow="0" w:firstColumn="1" w:lastColumn="0" w:noHBand="0" w:noVBand="1"/>
      </w:tblPr>
      <w:tblGrid>
        <w:gridCol w:w="1802"/>
        <w:gridCol w:w="5075"/>
      </w:tblGrid>
      <w:tr w:rsidR="002C1061" w:rsidTr="00201BC8">
        <w:trPr>
          <w:jc w:val="center"/>
        </w:trPr>
        <w:tc>
          <w:tcPr>
            <w:tcW w:w="0" w:type="auto"/>
            <w:vAlign w:val="center"/>
          </w:tcPr>
          <w:p w:rsidR="002C1061" w:rsidRDefault="002C1061" w:rsidP="002C1061">
            <w:pPr>
              <w:jc w:val="center"/>
            </w:pPr>
          </w:p>
        </w:tc>
        <w:tc>
          <w:tcPr>
            <w:tcW w:w="0" w:type="auto"/>
            <w:vAlign w:val="center"/>
          </w:tcPr>
          <w:p w:rsidR="002C1061" w:rsidRDefault="002C1061" w:rsidP="002C1061">
            <w:pPr>
              <w:jc w:val="center"/>
            </w:pPr>
            <w:r>
              <w:t>Industry Average</w:t>
            </w:r>
          </w:p>
        </w:tc>
      </w:tr>
      <w:tr w:rsidR="002C1061" w:rsidTr="00201BC8">
        <w:trPr>
          <w:jc w:val="center"/>
        </w:trPr>
        <w:tc>
          <w:tcPr>
            <w:tcW w:w="0" w:type="auto"/>
            <w:vAlign w:val="center"/>
          </w:tcPr>
          <w:p w:rsidR="002C1061" w:rsidRDefault="002C1061" w:rsidP="002C1061">
            <w:pPr>
              <w:jc w:val="center"/>
            </w:pPr>
            <w:r>
              <w:t>NEC/Sales</w:t>
            </w:r>
          </w:p>
        </w:tc>
        <w:tc>
          <w:tcPr>
            <w:tcW w:w="0" w:type="auto"/>
            <w:vAlign w:val="center"/>
          </w:tcPr>
          <w:p w:rsidR="002C1061" w:rsidRDefault="00AE2A04" w:rsidP="002C1061">
            <w:pPr>
              <w:jc w:val="center"/>
            </w:pPr>
            <w:r>
              <w:t>5.18</w:t>
            </w:r>
            <w:r w:rsidR="002C1061">
              <w:t>%</w:t>
            </w:r>
          </w:p>
        </w:tc>
      </w:tr>
      <w:tr w:rsidR="002C1061" w:rsidTr="00201BC8">
        <w:trPr>
          <w:jc w:val="center"/>
        </w:trPr>
        <w:tc>
          <w:tcPr>
            <w:tcW w:w="0" w:type="auto"/>
            <w:vAlign w:val="center"/>
          </w:tcPr>
          <w:p w:rsidR="002C1061" w:rsidRDefault="002C1061" w:rsidP="002C1061">
            <w:pPr>
              <w:jc w:val="center"/>
            </w:pPr>
            <w:r>
              <w:t>WC/Sales</w:t>
            </w:r>
          </w:p>
        </w:tc>
        <w:tc>
          <w:tcPr>
            <w:tcW w:w="0" w:type="auto"/>
            <w:vAlign w:val="center"/>
          </w:tcPr>
          <w:p w:rsidR="002C1061" w:rsidRDefault="00AE2A04" w:rsidP="00AE2A04">
            <w:pPr>
              <w:jc w:val="center"/>
            </w:pPr>
            <w:r>
              <w:t>-3.70% Assume 0 for 5 years and then (long term) 10%</w:t>
            </w:r>
          </w:p>
        </w:tc>
      </w:tr>
      <w:tr w:rsidR="002C1061" w:rsidTr="00201BC8">
        <w:trPr>
          <w:jc w:val="center"/>
        </w:trPr>
        <w:tc>
          <w:tcPr>
            <w:tcW w:w="0" w:type="auto"/>
            <w:vAlign w:val="center"/>
          </w:tcPr>
          <w:p w:rsidR="002C1061" w:rsidRDefault="002C1061" w:rsidP="002C1061">
            <w:pPr>
              <w:jc w:val="center"/>
            </w:pPr>
            <w:r>
              <w:t>Operating Margin</w:t>
            </w:r>
          </w:p>
        </w:tc>
        <w:tc>
          <w:tcPr>
            <w:tcW w:w="0" w:type="auto"/>
            <w:vAlign w:val="center"/>
          </w:tcPr>
          <w:p w:rsidR="002C1061" w:rsidRDefault="002C1061" w:rsidP="002C1061">
            <w:pPr>
              <w:jc w:val="center"/>
            </w:pPr>
            <w:r>
              <w:t>17.25%</w:t>
            </w:r>
          </w:p>
        </w:tc>
      </w:tr>
      <w:tr w:rsidR="002C1061" w:rsidTr="00201BC8">
        <w:trPr>
          <w:jc w:val="center"/>
        </w:trPr>
        <w:tc>
          <w:tcPr>
            <w:tcW w:w="0" w:type="auto"/>
            <w:vAlign w:val="center"/>
          </w:tcPr>
          <w:p w:rsidR="002C1061" w:rsidRDefault="002C1061" w:rsidP="002C1061">
            <w:pPr>
              <w:jc w:val="center"/>
            </w:pPr>
            <w:r>
              <w:t>Cost of capital</w:t>
            </w:r>
          </w:p>
        </w:tc>
        <w:tc>
          <w:tcPr>
            <w:tcW w:w="0" w:type="auto"/>
            <w:vAlign w:val="center"/>
          </w:tcPr>
          <w:p w:rsidR="002C1061" w:rsidRDefault="002C1061" w:rsidP="002C1061">
            <w:pPr>
              <w:jc w:val="center"/>
            </w:pPr>
            <w:r>
              <w:t>9.97%</w:t>
            </w:r>
          </w:p>
        </w:tc>
      </w:tr>
    </w:tbl>
    <w:p w:rsidR="00A114B9" w:rsidRDefault="00A114B9" w:rsidP="006443F3">
      <w:pPr>
        <w:jc w:val="both"/>
      </w:pPr>
    </w:p>
    <w:p w:rsidR="00201BC8" w:rsidRPr="00A114B9" w:rsidRDefault="00201BC8" w:rsidP="006443F3">
      <w:pPr>
        <w:jc w:val="both"/>
        <w:rPr>
          <w:i/>
        </w:rPr>
      </w:pPr>
      <w:r w:rsidRPr="00A114B9">
        <w:rPr>
          <w:i/>
        </w:rPr>
        <w:t>Relative Valuation</w:t>
      </w:r>
    </w:p>
    <w:p w:rsidR="00201BC8" w:rsidRPr="000E1C9C" w:rsidRDefault="00201BC8" w:rsidP="00201BC8">
      <w:pPr>
        <w:jc w:val="both"/>
        <w:rPr>
          <w:i/>
        </w:rPr>
      </w:pPr>
      <w:r w:rsidRPr="000E1C9C">
        <w:rPr>
          <w:i/>
        </w:rPr>
        <w:t>Price Sales Ratio</w:t>
      </w:r>
    </w:p>
    <w:p w:rsidR="00201BC8" w:rsidRDefault="00201BC8" w:rsidP="00201BC8">
      <w:pPr>
        <w:jc w:val="center"/>
      </w:pPr>
      <w:r w:rsidRPr="00201BC8">
        <w:rPr>
          <w:position w:val="-172"/>
        </w:rPr>
        <w:object w:dxaOrig="3700" w:dyaOrig="3560" w14:anchorId="1BD26139">
          <v:shape id="_x0000_i1034" type="#_x0000_t75" style="width:185.25pt;height:178.5pt" o:ole="">
            <v:imagedata r:id="rId44" o:title=""/>
          </v:shape>
          <o:OLEObject Type="Embed" ProgID="Equation.3" ShapeID="_x0000_i1034" DrawAspect="Content" ObjectID="_1854575665" r:id="rId45"/>
        </w:object>
      </w:r>
    </w:p>
    <w:p w:rsidR="00201BC8" w:rsidRDefault="00201BC8" w:rsidP="00201BC8">
      <w:pPr>
        <w:jc w:val="both"/>
      </w:pPr>
      <w:r>
        <w:t>This price is completely off track, and the most likely reason is that Twitter is not (considered to be) a leading company in the sector. Therefore, the P/S multiples of Facebook and Snapchat would most likely overestimate its value. Let s try with the mean and median, assuming that Twitter is an average (rather than a leading) firm in the sector.</w:t>
      </w:r>
    </w:p>
    <w:p w:rsidR="00201BC8" w:rsidRDefault="00201BC8" w:rsidP="00201BC8">
      <w:pPr>
        <w:jc w:val="center"/>
      </w:pPr>
      <w:r w:rsidRPr="00201BC8">
        <w:rPr>
          <w:position w:val="-172"/>
        </w:rPr>
        <w:object w:dxaOrig="3460" w:dyaOrig="3560" w14:anchorId="70E87CC1">
          <v:shape id="_x0000_i1035" type="#_x0000_t75" style="width:173.25pt;height:178.5pt" o:ole="">
            <v:imagedata r:id="rId46" o:title=""/>
          </v:shape>
          <o:OLEObject Type="Embed" ProgID="Equation.3" ShapeID="_x0000_i1035" DrawAspect="Content" ObjectID="_1854575666" r:id="rId47"/>
        </w:object>
      </w:r>
    </w:p>
    <w:p w:rsidR="00201BC8" w:rsidRDefault="00201BC8" w:rsidP="00201BC8">
      <w:pPr>
        <w:jc w:val="both"/>
      </w:pPr>
      <w:r>
        <w:t>This is a more realistic valuation and seems that Twitter belongs to the lower 50% of the companies in this sector.</w:t>
      </w:r>
    </w:p>
    <w:p w:rsidR="00201BC8" w:rsidRPr="000E1C9C" w:rsidRDefault="00201BC8" w:rsidP="00201BC8">
      <w:pPr>
        <w:jc w:val="both"/>
        <w:rPr>
          <w:i/>
        </w:rPr>
      </w:pPr>
      <w:r>
        <w:t xml:space="preserve"> </w:t>
      </w:r>
      <w:r w:rsidRPr="000E1C9C">
        <w:rPr>
          <w:i/>
        </w:rPr>
        <w:t xml:space="preserve">Price </w:t>
      </w:r>
      <w:r>
        <w:rPr>
          <w:i/>
        </w:rPr>
        <w:t>MAU</w:t>
      </w:r>
    </w:p>
    <w:p w:rsidR="00201BC8" w:rsidRDefault="00201BC8" w:rsidP="00201BC8">
      <w:pPr>
        <w:jc w:val="center"/>
      </w:pPr>
      <w:r w:rsidRPr="00201BC8">
        <w:rPr>
          <w:position w:val="-186"/>
        </w:rPr>
        <w:object w:dxaOrig="3660" w:dyaOrig="3840" w14:anchorId="2206E908">
          <v:shape id="_x0000_i1036" type="#_x0000_t75" style="width:183pt;height:191.25pt" o:ole="">
            <v:imagedata r:id="rId48" o:title=""/>
          </v:shape>
          <o:OLEObject Type="Embed" ProgID="Equation.3" ShapeID="_x0000_i1036" DrawAspect="Content" ObjectID="_1854575667" r:id="rId49"/>
        </w:object>
      </w:r>
    </w:p>
    <w:p w:rsidR="00201BC8" w:rsidRDefault="00201BC8" w:rsidP="00201BC8">
      <w:pPr>
        <w:jc w:val="both"/>
      </w:pPr>
      <w:r>
        <w:t>This price is again rather far from the market price and most likely it does not reflect the fundamentals. Let s see what assumptions we can develop and what price these would lead us to.</w:t>
      </w:r>
    </w:p>
    <w:p w:rsidR="00201BC8" w:rsidRDefault="00FD7719" w:rsidP="00201BC8">
      <w:pPr>
        <w:jc w:val="both"/>
      </w:pPr>
      <w:r>
        <w:t>Fundamentals pricing</w:t>
      </w:r>
    </w:p>
    <w:p w:rsidR="00A2208A" w:rsidRDefault="00FD7719" w:rsidP="00FD7719">
      <w:pPr>
        <w:jc w:val="both"/>
      </w:pPr>
      <w:r>
        <w:t xml:space="preserve">Twitter is </w:t>
      </w:r>
      <w:r w:rsidR="00A2208A">
        <w:t xml:space="preserve">still </w:t>
      </w:r>
      <w:r>
        <w:t xml:space="preserve">a money losing firm at </w:t>
      </w:r>
      <w:r w:rsidR="00A2208A">
        <w:t>an operational level (EBIT=-$367.21m</w:t>
      </w:r>
      <w:r w:rsidR="00203B6B">
        <w:t>, Operating margin = $367.21m / $2.53b = -14.51%</w:t>
      </w:r>
      <w:r w:rsidR="00A2208A">
        <w:t>). Unlike in the past it is not expected to growth as fast as its competitors, although there have been changes in management, as well as rumors that it might be taken over by a larger firm, such as Microsoft. We will assume that in any case, Twitter will be able to achieve some growth both on the number of MAU, as well as revenue due to either the managerial changes or a potential acquisition. It will reach as healthy operating margin in 3 years. It needs to reach a positive sign fairly soon, because assets turnover in the industry is very fast. It will enter a stable growth (</w:t>
      </w:r>
      <w:r w:rsidR="00E23DD3">
        <w:t>3</w:t>
      </w:r>
      <w:r w:rsidR="00A2208A">
        <w:t xml:space="preserve">%) phase in 10 years from now. Investments will be comparable to the industry level. </w:t>
      </w:r>
    </w:p>
    <w:p w:rsidR="00CA0925" w:rsidRDefault="00CA0925" w:rsidP="00FD7719">
      <w:pPr>
        <w:jc w:val="both"/>
      </w:pPr>
    </w:p>
    <w:tbl>
      <w:tblPr>
        <w:tblStyle w:val="Sombreadoclaro-nfasis5"/>
        <w:tblW w:w="0" w:type="auto"/>
        <w:jc w:val="center"/>
        <w:tblLook w:val="04A0" w:firstRow="1" w:lastRow="0" w:firstColumn="1" w:lastColumn="0" w:noHBand="0" w:noVBand="1"/>
      </w:tblPr>
      <w:tblGrid>
        <w:gridCol w:w="1660"/>
        <w:gridCol w:w="943"/>
        <w:gridCol w:w="875"/>
        <w:gridCol w:w="875"/>
        <w:gridCol w:w="875"/>
        <w:gridCol w:w="875"/>
        <w:gridCol w:w="875"/>
      </w:tblGrid>
      <w:tr w:rsidR="00A2208A" w:rsidRPr="008531BF" w:rsidTr="00A2208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rPr>
                <w:rFonts w:ascii="Calibri" w:eastAsia="Times New Roman" w:hAnsi="Calibri" w:cs="Times New Roman"/>
                <w:color w:val="000000"/>
                <w:lang w:eastAsia="en-GB"/>
              </w:rPr>
            </w:pPr>
          </w:p>
        </w:tc>
        <w:tc>
          <w:tcPr>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0</w:t>
            </w:r>
          </w:p>
        </w:tc>
        <w:tc>
          <w:tcPr>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w:t>
            </w:r>
          </w:p>
        </w:tc>
        <w:tc>
          <w:tcPr>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2</w:t>
            </w:r>
          </w:p>
        </w:tc>
        <w:tc>
          <w:tcPr>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3</w:t>
            </w:r>
          </w:p>
        </w:tc>
        <w:tc>
          <w:tcPr>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4</w:t>
            </w:r>
          </w:p>
        </w:tc>
        <w:tc>
          <w:tcPr>
            <w:tcW w:w="0" w:type="auto"/>
            <w:tcBorders>
              <w:top w:val="none" w:sz="0" w:space="0" w:color="auto"/>
              <w:left w:val="none" w:sz="0" w:space="0" w:color="auto"/>
              <w:bottom w:val="none" w:sz="0" w:space="0" w:color="auto"/>
              <w:right w:val="none" w:sz="0" w:space="0" w:color="auto"/>
            </w:tcBorders>
            <w:noWrap/>
            <w:hideMark/>
          </w:tcPr>
          <w:p w:rsidR="00A2208A" w:rsidRPr="008531BF" w:rsidRDefault="00A2208A" w:rsidP="00FD771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5</w:t>
            </w:r>
          </w:p>
        </w:tc>
      </w:tr>
      <w:tr w:rsidR="00934954" w:rsidRPr="008531BF" w:rsidTr="009349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hideMark/>
          </w:tcPr>
          <w:p w:rsidR="00934954" w:rsidRPr="008531BF"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val="el-GR" w:eastAsia="en-GB"/>
              </w:rPr>
              <w:t>Δ</w:t>
            </w:r>
            <w:r w:rsidRPr="008531BF">
              <w:rPr>
                <w:rFonts w:ascii="Calibri" w:eastAsia="Times New Roman" w:hAnsi="Calibri" w:cs="Times New Roman"/>
                <w:color w:val="000000"/>
                <w:lang w:eastAsia="en-GB"/>
              </w:rPr>
              <w:t>sales</w:t>
            </w:r>
          </w:p>
        </w:tc>
        <w:tc>
          <w:tcPr>
            <w:tcW w:w="0" w:type="auto"/>
            <w:tcBorders>
              <w:left w:val="none" w:sz="0" w:space="0" w:color="auto"/>
              <w:right w:val="none" w:sz="0" w:space="0" w:color="auto"/>
            </w:tcBorders>
            <w:noWrap/>
            <w:hideMark/>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vAlign w:val="center"/>
            <w:hideMark/>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45%</w:t>
            </w:r>
          </w:p>
        </w:tc>
        <w:tc>
          <w:tcPr>
            <w:tcW w:w="0" w:type="auto"/>
            <w:tcBorders>
              <w:left w:val="none" w:sz="0" w:space="0" w:color="auto"/>
              <w:right w:val="none" w:sz="0" w:space="0" w:color="auto"/>
            </w:tcBorders>
            <w:noWrap/>
            <w:vAlign w:val="center"/>
            <w:hideMark/>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40%</w:t>
            </w:r>
          </w:p>
        </w:tc>
        <w:tc>
          <w:tcPr>
            <w:tcW w:w="0" w:type="auto"/>
            <w:tcBorders>
              <w:left w:val="none" w:sz="0" w:space="0" w:color="auto"/>
              <w:right w:val="none" w:sz="0" w:space="0" w:color="auto"/>
            </w:tcBorders>
            <w:noWrap/>
            <w:vAlign w:val="center"/>
            <w:hideMark/>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35%</w:t>
            </w:r>
          </w:p>
        </w:tc>
        <w:tc>
          <w:tcPr>
            <w:tcW w:w="0" w:type="auto"/>
            <w:tcBorders>
              <w:left w:val="none" w:sz="0" w:space="0" w:color="auto"/>
              <w:right w:val="none" w:sz="0" w:space="0" w:color="auto"/>
            </w:tcBorders>
            <w:noWrap/>
            <w:vAlign w:val="center"/>
            <w:hideMark/>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30%</w:t>
            </w:r>
          </w:p>
        </w:tc>
        <w:tc>
          <w:tcPr>
            <w:tcW w:w="0" w:type="auto"/>
            <w:tcBorders>
              <w:left w:val="none" w:sz="0" w:space="0" w:color="auto"/>
              <w:right w:val="none" w:sz="0" w:space="0" w:color="auto"/>
            </w:tcBorders>
            <w:noWrap/>
            <w:vAlign w:val="center"/>
            <w:hideMark/>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25%</w:t>
            </w:r>
          </w:p>
        </w:tc>
      </w:tr>
      <w:tr w:rsidR="00A2208A" w:rsidRPr="008531BF" w:rsidTr="00A2208A">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00A2208A" w:rsidRPr="008531BF" w:rsidRDefault="00A2208A" w:rsidP="00FD7719">
            <w:pPr>
              <w:jc w:val="center"/>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OPM</w:t>
            </w:r>
          </w:p>
        </w:tc>
        <w:tc>
          <w:tcPr>
            <w:tcW w:w="0" w:type="auto"/>
            <w:noWrap/>
            <w:hideMark/>
          </w:tcPr>
          <w:p w:rsidR="00A2208A" w:rsidRPr="008531BF"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w:t>
            </w:r>
            <w:r w:rsidR="00203B6B">
              <w:rPr>
                <w:rFonts w:ascii="Calibri" w:eastAsia="Times New Roman" w:hAnsi="Calibri" w:cs="Times New Roman"/>
                <w:color w:val="000000"/>
                <w:lang w:eastAsia="en-GB"/>
              </w:rPr>
              <w:t>14.51</w:t>
            </w:r>
            <w:r>
              <w:rPr>
                <w:rFonts w:ascii="Calibri" w:eastAsia="Times New Roman" w:hAnsi="Calibri" w:cs="Times New Roman"/>
                <w:color w:val="000000"/>
                <w:lang w:eastAsia="en-GB"/>
              </w:rPr>
              <w:t>%</w:t>
            </w:r>
          </w:p>
        </w:tc>
        <w:tc>
          <w:tcPr>
            <w:tcW w:w="0" w:type="auto"/>
            <w:noWrap/>
            <w:hideMark/>
          </w:tcPr>
          <w:p w:rsidR="00A2208A" w:rsidRPr="008531BF"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w:t>
            </w:r>
            <w:r w:rsidR="00203B6B">
              <w:rPr>
                <w:rFonts w:ascii="Calibri" w:eastAsia="Times New Roman" w:hAnsi="Calibri" w:cs="Times New Roman"/>
                <w:color w:val="000000"/>
                <w:lang w:eastAsia="en-GB"/>
              </w:rPr>
              <w:t>10</w:t>
            </w:r>
            <w:r>
              <w:rPr>
                <w:rFonts w:ascii="Calibri" w:eastAsia="Times New Roman" w:hAnsi="Calibri" w:cs="Times New Roman"/>
                <w:color w:val="000000"/>
                <w:lang w:eastAsia="en-GB"/>
              </w:rPr>
              <w:t>%</w:t>
            </w:r>
          </w:p>
        </w:tc>
        <w:tc>
          <w:tcPr>
            <w:tcW w:w="0" w:type="auto"/>
            <w:noWrap/>
            <w:hideMark/>
          </w:tcPr>
          <w:p w:rsidR="00A2208A" w:rsidRPr="008531BF"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w:t>
            </w:r>
            <w:r w:rsidR="00203B6B">
              <w:rPr>
                <w:rFonts w:ascii="Calibri" w:eastAsia="Times New Roman" w:hAnsi="Calibri" w:cs="Times New Roman"/>
                <w:color w:val="000000"/>
                <w:lang w:eastAsia="en-GB"/>
              </w:rPr>
              <w:t>5</w:t>
            </w:r>
            <w:r>
              <w:rPr>
                <w:rFonts w:ascii="Calibri" w:eastAsia="Times New Roman" w:hAnsi="Calibri" w:cs="Times New Roman"/>
                <w:color w:val="000000"/>
                <w:lang w:eastAsia="en-GB"/>
              </w:rPr>
              <w:t>%</w:t>
            </w:r>
          </w:p>
        </w:tc>
        <w:tc>
          <w:tcPr>
            <w:tcW w:w="0" w:type="auto"/>
            <w:noWrap/>
            <w:hideMark/>
          </w:tcPr>
          <w:p w:rsidR="00A2208A" w:rsidRPr="008531BF" w:rsidRDefault="00A2208A" w:rsidP="00FD771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0</w:t>
            </w:r>
          </w:p>
        </w:tc>
        <w:tc>
          <w:tcPr>
            <w:tcW w:w="0" w:type="auto"/>
            <w:noWrap/>
            <w:hideMark/>
          </w:tcPr>
          <w:p w:rsidR="00A2208A" w:rsidRPr="008531BF" w:rsidRDefault="00A2208A" w:rsidP="00FD771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5</w:t>
            </w:r>
            <w:r>
              <w:rPr>
                <w:rFonts w:ascii="Calibri" w:eastAsia="Times New Roman" w:hAnsi="Calibri" w:cs="Times New Roman"/>
                <w:color w:val="000000"/>
                <w:lang w:eastAsia="en-GB"/>
              </w:rPr>
              <w:t>%</w:t>
            </w:r>
          </w:p>
        </w:tc>
        <w:tc>
          <w:tcPr>
            <w:tcW w:w="0" w:type="auto"/>
            <w:noWrap/>
            <w:hideMark/>
          </w:tcPr>
          <w:p w:rsidR="00A2208A" w:rsidRPr="008531BF" w:rsidRDefault="00A2208A" w:rsidP="00FD771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15</w:t>
            </w:r>
            <w:r>
              <w:rPr>
                <w:rFonts w:ascii="Calibri" w:eastAsia="Times New Roman" w:hAnsi="Calibri" w:cs="Times New Roman"/>
                <w:color w:val="000000"/>
                <w:lang w:eastAsia="en-GB"/>
              </w:rPr>
              <w:t>%</w:t>
            </w:r>
          </w:p>
        </w:tc>
      </w:tr>
      <w:tr w:rsidR="00934954" w:rsidRPr="008531BF" w:rsidTr="00A220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934954" w:rsidRPr="008531BF"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NetCapEx/Sales</w:t>
            </w:r>
          </w:p>
        </w:tc>
        <w:tc>
          <w:tcPr>
            <w:tcW w:w="0" w:type="auto"/>
            <w:tcBorders>
              <w:left w:val="none" w:sz="0" w:space="0" w:color="auto"/>
              <w:right w:val="none" w:sz="0" w:space="0" w:color="auto"/>
            </w:tcBorders>
            <w:noWrap/>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5.18%</w:t>
            </w:r>
          </w:p>
        </w:tc>
        <w:tc>
          <w:tcPr>
            <w:tcW w:w="0" w:type="auto"/>
            <w:tcBorders>
              <w:left w:val="none" w:sz="0" w:space="0" w:color="auto"/>
              <w:right w:val="none" w:sz="0" w:space="0" w:color="auto"/>
            </w:tcBorders>
            <w:noWrap/>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295B39">
              <w:rPr>
                <w:rFonts w:ascii="Calibri" w:eastAsia="Times New Roman" w:hAnsi="Calibri" w:cs="Times New Roman"/>
                <w:color w:val="000000"/>
                <w:lang w:eastAsia="en-GB"/>
              </w:rPr>
              <w:t>5.18%</w:t>
            </w:r>
          </w:p>
        </w:tc>
        <w:tc>
          <w:tcPr>
            <w:tcW w:w="0" w:type="auto"/>
            <w:tcBorders>
              <w:left w:val="none" w:sz="0" w:space="0" w:color="auto"/>
              <w:right w:val="none" w:sz="0" w:space="0" w:color="auto"/>
            </w:tcBorders>
            <w:noWrap/>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295B39">
              <w:rPr>
                <w:rFonts w:ascii="Calibri" w:eastAsia="Times New Roman" w:hAnsi="Calibri" w:cs="Times New Roman"/>
                <w:color w:val="000000"/>
                <w:lang w:eastAsia="en-GB"/>
              </w:rPr>
              <w:t>5.18%</w:t>
            </w:r>
          </w:p>
        </w:tc>
        <w:tc>
          <w:tcPr>
            <w:tcW w:w="0" w:type="auto"/>
            <w:tcBorders>
              <w:left w:val="none" w:sz="0" w:space="0" w:color="auto"/>
              <w:right w:val="none" w:sz="0" w:space="0" w:color="auto"/>
            </w:tcBorders>
            <w:noWrap/>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295B39">
              <w:rPr>
                <w:rFonts w:ascii="Calibri" w:eastAsia="Times New Roman" w:hAnsi="Calibri" w:cs="Times New Roman"/>
                <w:color w:val="000000"/>
                <w:lang w:eastAsia="en-GB"/>
              </w:rPr>
              <w:t>5.18%</w:t>
            </w:r>
          </w:p>
        </w:tc>
        <w:tc>
          <w:tcPr>
            <w:tcW w:w="0" w:type="auto"/>
            <w:tcBorders>
              <w:left w:val="none" w:sz="0" w:space="0" w:color="auto"/>
              <w:right w:val="none" w:sz="0" w:space="0" w:color="auto"/>
            </w:tcBorders>
            <w:noWrap/>
          </w:tcPr>
          <w:p w:rsidR="00934954" w:rsidRPr="008531BF"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295B39">
              <w:rPr>
                <w:rFonts w:ascii="Calibri" w:eastAsia="Times New Roman" w:hAnsi="Calibri" w:cs="Times New Roman"/>
                <w:color w:val="000000"/>
                <w:lang w:eastAsia="en-GB"/>
              </w:rPr>
              <w:t>5.18%</w:t>
            </w:r>
          </w:p>
        </w:tc>
      </w:tr>
      <w:tr w:rsidR="00934954" w:rsidRPr="008531BF" w:rsidTr="00934954">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934954"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NWC/Sales</w:t>
            </w:r>
          </w:p>
        </w:tc>
        <w:tc>
          <w:tcPr>
            <w:tcW w:w="0" w:type="auto"/>
            <w:noWrap/>
          </w:tcPr>
          <w:p w:rsidR="00934954" w:rsidRPr="008531BF"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-3.70%</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0.00%</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0.00%</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0.00%</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0.00%</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0.00%</w:t>
            </w:r>
          </w:p>
        </w:tc>
      </w:tr>
      <w:tr w:rsidR="00A2208A" w:rsidRPr="008531BF" w:rsidTr="00A220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A2208A" w:rsidRDefault="00A2208A" w:rsidP="00FD7719">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Tax</w:t>
            </w:r>
          </w:p>
        </w:tc>
        <w:tc>
          <w:tcPr>
            <w:tcW w:w="0" w:type="auto"/>
            <w:tcBorders>
              <w:left w:val="none" w:sz="0" w:space="0" w:color="auto"/>
              <w:right w:val="none" w:sz="0" w:space="0" w:color="auto"/>
            </w:tcBorders>
            <w:noWrap/>
          </w:tcPr>
          <w:p w:rsidR="00A2208A" w:rsidRPr="008531BF"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tcPr>
          <w:p w:rsidR="00A2208A" w:rsidRDefault="00A2208A"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w:t>
            </w:r>
            <w:r w:rsidR="00203B6B">
              <w:rPr>
                <w:rFonts w:ascii="Calibri" w:eastAsia="Times New Roman" w:hAnsi="Calibri" w:cs="Times New Roman"/>
                <w:color w:val="000000"/>
                <w:lang w:eastAsia="en-GB"/>
              </w:rPr>
              <w:t>2.86</w:t>
            </w:r>
            <w:r>
              <w:rPr>
                <w:rFonts w:ascii="Calibri" w:eastAsia="Times New Roman" w:hAnsi="Calibri" w:cs="Times New Roman"/>
                <w:color w:val="000000"/>
                <w:lang w:eastAsia="en-GB"/>
              </w:rPr>
              <w:t>%</w:t>
            </w:r>
          </w:p>
        </w:tc>
        <w:tc>
          <w:tcPr>
            <w:tcW w:w="0" w:type="auto"/>
            <w:tcBorders>
              <w:left w:val="none" w:sz="0" w:space="0" w:color="auto"/>
              <w:right w:val="none" w:sz="0" w:space="0" w:color="auto"/>
            </w:tcBorders>
            <w:noWrap/>
          </w:tcPr>
          <w:p w:rsidR="00A2208A" w:rsidRDefault="00203B6B"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tcBorders>
              <w:left w:val="none" w:sz="0" w:space="0" w:color="auto"/>
              <w:right w:val="none" w:sz="0" w:space="0" w:color="auto"/>
            </w:tcBorders>
            <w:noWrap/>
          </w:tcPr>
          <w:p w:rsidR="00A2208A" w:rsidRDefault="00203B6B"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tcBorders>
              <w:left w:val="none" w:sz="0" w:space="0" w:color="auto"/>
              <w:right w:val="none" w:sz="0" w:space="0" w:color="auto"/>
            </w:tcBorders>
            <w:noWrap/>
          </w:tcPr>
          <w:p w:rsidR="00A2208A" w:rsidRDefault="00203B6B"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tcBorders>
              <w:left w:val="none" w:sz="0" w:space="0" w:color="auto"/>
              <w:right w:val="none" w:sz="0" w:space="0" w:color="auto"/>
            </w:tcBorders>
            <w:noWrap/>
          </w:tcPr>
          <w:p w:rsidR="00A2208A" w:rsidRDefault="00203B6B"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r>
      <w:tr w:rsidR="00A2208A" w:rsidRPr="008531BF" w:rsidTr="00A2208A">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A2208A" w:rsidRDefault="00A2208A" w:rsidP="00FD7719">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Cost of Capital</w:t>
            </w:r>
          </w:p>
        </w:tc>
        <w:tc>
          <w:tcPr>
            <w:tcW w:w="0" w:type="auto"/>
            <w:noWrap/>
          </w:tcPr>
          <w:p w:rsidR="00A2208A" w:rsidRPr="008531BF" w:rsidRDefault="00A2208A" w:rsidP="00FD771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p>
        </w:tc>
        <w:tc>
          <w:tcPr>
            <w:tcW w:w="0" w:type="auto"/>
            <w:noWrap/>
          </w:tcPr>
          <w:p w:rsidR="00A2208A"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r w:rsidR="00203B6B">
              <w:rPr>
                <w:rFonts w:ascii="Calibri" w:eastAsia="Times New Roman" w:hAnsi="Calibri" w:cs="Times New Roman"/>
                <w:color w:val="000000"/>
                <w:lang w:eastAsia="en-GB"/>
              </w:rPr>
              <w:t>97</w:t>
            </w:r>
            <w:r>
              <w:rPr>
                <w:rFonts w:ascii="Calibri" w:eastAsia="Times New Roman" w:hAnsi="Calibri" w:cs="Times New Roman"/>
                <w:color w:val="000000"/>
                <w:lang w:eastAsia="en-GB"/>
              </w:rPr>
              <w:t>%</w:t>
            </w:r>
          </w:p>
        </w:tc>
        <w:tc>
          <w:tcPr>
            <w:tcW w:w="0" w:type="auto"/>
            <w:noWrap/>
          </w:tcPr>
          <w:p w:rsidR="00A2208A"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r w:rsidR="00203B6B">
              <w:rPr>
                <w:rFonts w:ascii="Calibri" w:eastAsia="Times New Roman" w:hAnsi="Calibri" w:cs="Times New Roman"/>
                <w:color w:val="000000"/>
                <w:lang w:eastAsia="en-GB"/>
              </w:rPr>
              <w:t>97</w:t>
            </w:r>
            <w:r>
              <w:rPr>
                <w:rFonts w:ascii="Calibri" w:eastAsia="Times New Roman" w:hAnsi="Calibri" w:cs="Times New Roman"/>
                <w:color w:val="000000"/>
                <w:lang w:eastAsia="en-GB"/>
              </w:rPr>
              <w:t>%</w:t>
            </w:r>
          </w:p>
        </w:tc>
        <w:tc>
          <w:tcPr>
            <w:tcW w:w="0" w:type="auto"/>
            <w:noWrap/>
          </w:tcPr>
          <w:p w:rsidR="00A2208A"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r w:rsidR="00203B6B">
              <w:rPr>
                <w:rFonts w:ascii="Calibri" w:eastAsia="Times New Roman" w:hAnsi="Calibri" w:cs="Times New Roman"/>
                <w:color w:val="000000"/>
                <w:lang w:eastAsia="en-GB"/>
              </w:rPr>
              <w:t>97</w:t>
            </w:r>
            <w:r>
              <w:rPr>
                <w:rFonts w:ascii="Calibri" w:eastAsia="Times New Roman" w:hAnsi="Calibri" w:cs="Times New Roman"/>
                <w:color w:val="000000"/>
                <w:lang w:eastAsia="en-GB"/>
              </w:rPr>
              <w:t>%</w:t>
            </w:r>
          </w:p>
        </w:tc>
        <w:tc>
          <w:tcPr>
            <w:tcW w:w="0" w:type="auto"/>
            <w:noWrap/>
          </w:tcPr>
          <w:p w:rsidR="00A2208A"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r w:rsidR="00203B6B">
              <w:rPr>
                <w:rFonts w:ascii="Calibri" w:eastAsia="Times New Roman" w:hAnsi="Calibri" w:cs="Times New Roman"/>
                <w:color w:val="000000"/>
                <w:lang w:eastAsia="en-GB"/>
              </w:rPr>
              <w:t>97</w:t>
            </w:r>
            <w:r>
              <w:rPr>
                <w:rFonts w:ascii="Calibri" w:eastAsia="Times New Roman" w:hAnsi="Calibri" w:cs="Times New Roman"/>
                <w:color w:val="000000"/>
                <w:lang w:eastAsia="en-GB"/>
              </w:rPr>
              <w:t>%</w:t>
            </w:r>
          </w:p>
        </w:tc>
        <w:tc>
          <w:tcPr>
            <w:tcW w:w="0" w:type="auto"/>
            <w:noWrap/>
          </w:tcPr>
          <w:p w:rsidR="00A2208A" w:rsidRDefault="00A2208A" w:rsidP="00203B6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r w:rsidR="00203B6B">
              <w:rPr>
                <w:rFonts w:ascii="Calibri" w:eastAsia="Times New Roman" w:hAnsi="Calibri" w:cs="Times New Roman"/>
                <w:color w:val="000000"/>
                <w:lang w:eastAsia="en-GB"/>
              </w:rPr>
              <w:t>97</w:t>
            </w:r>
            <w:r>
              <w:rPr>
                <w:rFonts w:ascii="Calibri" w:eastAsia="Times New Roman" w:hAnsi="Calibri" w:cs="Times New Roman"/>
                <w:color w:val="000000"/>
                <w:lang w:eastAsia="en-GB"/>
              </w:rPr>
              <w:t>%</w:t>
            </w:r>
          </w:p>
        </w:tc>
      </w:tr>
      <w:tr w:rsidR="00A2208A" w:rsidRPr="008531BF" w:rsidTr="00A220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A2208A" w:rsidRDefault="00A2208A" w:rsidP="00FD7719">
            <w:pPr>
              <w:jc w:val="center"/>
              <w:rPr>
                <w:rFonts w:ascii="Calibri" w:eastAsia="Times New Roman" w:hAnsi="Calibri" w:cs="Times New Roman"/>
                <w:color w:val="000000"/>
                <w:lang w:eastAsia="en-GB"/>
              </w:rPr>
            </w:pPr>
          </w:p>
        </w:tc>
        <w:tc>
          <w:tcPr>
            <w:tcW w:w="0" w:type="auto"/>
            <w:tcBorders>
              <w:left w:val="none" w:sz="0" w:space="0" w:color="auto"/>
              <w:right w:val="none" w:sz="0" w:space="0" w:color="auto"/>
            </w:tcBorders>
            <w:noWrap/>
          </w:tcPr>
          <w:p w:rsidR="00A2208A" w:rsidRPr="00A2208A"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lang w:eastAsia="en-GB"/>
              </w:rPr>
            </w:pPr>
            <w:r w:rsidRPr="00A2208A">
              <w:rPr>
                <w:rFonts w:ascii="Calibri" w:eastAsia="Times New Roman" w:hAnsi="Calibri" w:cs="Times New Roman"/>
                <w:b/>
                <w:bCs/>
                <w:color w:val="000000"/>
                <w:lang w:eastAsia="en-GB"/>
              </w:rPr>
              <w:t>6</w:t>
            </w:r>
          </w:p>
        </w:tc>
        <w:tc>
          <w:tcPr>
            <w:tcW w:w="0" w:type="auto"/>
            <w:tcBorders>
              <w:left w:val="none" w:sz="0" w:space="0" w:color="auto"/>
              <w:right w:val="none" w:sz="0" w:space="0" w:color="auto"/>
            </w:tcBorders>
            <w:noWrap/>
          </w:tcPr>
          <w:p w:rsidR="00A2208A" w:rsidRPr="00A2208A"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lang w:eastAsia="en-GB"/>
              </w:rPr>
            </w:pPr>
            <w:r w:rsidRPr="00A2208A">
              <w:rPr>
                <w:rFonts w:ascii="Calibri" w:eastAsia="Times New Roman" w:hAnsi="Calibri" w:cs="Times New Roman"/>
                <w:b/>
                <w:bCs/>
                <w:color w:val="000000"/>
                <w:lang w:eastAsia="en-GB"/>
              </w:rPr>
              <w:t>7</w:t>
            </w:r>
          </w:p>
        </w:tc>
        <w:tc>
          <w:tcPr>
            <w:tcW w:w="0" w:type="auto"/>
            <w:tcBorders>
              <w:left w:val="none" w:sz="0" w:space="0" w:color="auto"/>
              <w:right w:val="none" w:sz="0" w:space="0" w:color="auto"/>
            </w:tcBorders>
            <w:noWrap/>
          </w:tcPr>
          <w:p w:rsidR="00A2208A" w:rsidRPr="00A2208A"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lang w:eastAsia="en-GB"/>
              </w:rPr>
            </w:pPr>
            <w:r w:rsidRPr="00A2208A">
              <w:rPr>
                <w:rFonts w:ascii="Calibri" w:eastAsia="Times New Roman" w:hAnsi="Calibri" w:cs="Times New Roman"/>
                <w:b/>
                <w:bCs/>
                <w:color w:val="000000"/>
                <w:lang w:eastAsia="en-GB"/>
              </w:rPr>
              <w:t>8</w:t>
            </w:r>
          </w:p>
        </w:tc>
        <w:tc>
          <w:tcPr>
            <w:tcW w:w="0" w:type="auto"/>
            <w:tcBorders>
              <w:left w:val="none" w:sz="0" w:space="0" w:color="auto"/>
              <w:right w:val="none" w:sz="0" w:space="0" w:color="auto"/>
            </w:tcBorders>
            <w:noWrap/>
          </w:tcPr>
          <w:p w:rsidR="00A2208A" w:rsidRPr="00A2208A"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lang w:eastAsia="en-GB"/>
              </w:rPr>
            </w:pPr>
            <w:r w:rsidRPr="00A2208A">
              <w:rPr>
                <w:rFonts w:ascii="Calibri" w:eastAsia="Times New Roman" w:hAnsi="Calibri" w:cs="Times New Roman"/>
                <w:b/>
                <w:bCs/>
                <w:color w:val="000000"/>
                <w:lang w:eastAsia="en-GB"/>
              </w:rPr>
              <w:t>9</w:t>
            </w:r>
          </w:p>
        </w:tc>
        <w:tc>
          <w:tcPr>
            <w:tcW w:w="0" w:type="auto"/>
            <w:tcBorders>
              <w:left w:val="none" w:sz="0" w:space="0" w:color="auto"/>
              <w:right w:val="none" w:sz="0" w:space="0" w:color="auto"/>
            </w:tcBorders>
            <w:noWrap/>
          </w:tcPr>
          <w:p w:rsidR="00A2208A" w:rsidRPr="00A2208A"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lang w:eastAsia="en-GB"/>
              </w:rPr>
            </w:pPr>
            <w:r w:rsidRPr="00A2208A">
              <w:rPr>
                <w:rFonts w:ascii="Calibri" w:eastAsia="Times New Roman" w:hAnsi="Calibri" w:cs="Times New Roman"/>
                <w:b/>
                <w:bCs/>
                <w:color w:val="000000"/>
                <w:lang w:eastAsia="en-GB"/>
              </w:rPr>
              <w:t>10</w:t>
            </w:r>
          </w:p>
        </w:tc>
        <w:tc>
          <w:tcPr>
            <w:tcW w:w="0" w:type="auto"/>
            <w:tcBorders>
              <w:left w:val="none" w:sz="0" w:space="0" w:color="auto"/>
              <w:right w:val="none" w:sz="0" w:space="0" w:color="auto"/>
            </w:tcBorders>
            <w:noWrap/>
          </w:tcPr>
          <w:p w:rsidR="00A2208A" w:rsidRPr="00A2208A" w:rsidRDefault="00A2208A" w:rsidP="00FD771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lang w:eastAsia="en-GB"/>
              </w:rPr>
            </w:pPr>
            <w:r w:rsidRPr="00A2208A">
              <w:rPr>
                <w:rFonts w:ascii="Calibri" w:eastAsia="Times New Roman" w:hAnsi="Calibri" w:cs="Times New Roman"/>
                <w:b/>
                <w:bCs/>
                <w:color w:val="000000"/>
                <w:lang w:eastAsia="en-GB"/>
              </w:rPr>
              <w:t>11</w:t>
            </w:r>
          </w:p>
        </w:tc>
      </w:tr>
      <w:tr w:rsidR="00934954" w:rsidRPr="008531BF" w:rsidTr="00934954">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934954" w:rsidRPr="008531BF"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val="el-GR" w:eastAsia="en-GB"/>
              </w:rPr>
              <w:t>Δ</w:t>
            </w:r>
            <w:r w:rsidRPr="008531BF">
              <w:rPr>
                <w:rFonts w:ascii="Calibri" w:eastAsia="Times New Roman" w:hAnsi="Calibri" w:cs="Times New Roman"/>
                <w:color w:val="000000"/>
                <w:lang w:eastAsia="en-GB"/>
              </w:rPr>
              <w:t>sales</w:t>
            </w:r>
          </w:p>
        </w:tc>
        <w:tc>
          <w:tcPr>
            <w:tcW w:w="0" w:type="auto"/>
            <w:noWrap/>
            <w:vAlign w:val="center"/>
          </w:tcPr>
          <w:p w:rsidR="00934954" w:rsidRPr="008531BF"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20%</w:t>
            </w:r>
          </w:p>
        </w:tc>
        <w:tc>
          <w:tcPr>
            <w:tcW w:w="0" w:type="auto"/>
            <w:noWrap/>
            <w:vAlign w:val="center"/>
          </w:tcPr>
          <w:p w:rsidR="00934954" w:rsidRPr="008531BF"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15%</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10%</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8%</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6%</w:t>
            </w:r>
          </w:p>
        </w:tc>
        <w:tc>
          <w:tcPr>
            <w:tcW w:w="0" w:type="auto"/>
            <w:noWrap/>
            <w:vAlign w:val="center"/>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3%</w:t>
            </w:r>
          </w:p>
        </w:tc>
      </w:tr>
      <w:tr w:rsidR="00A2208A" w:rsidRPr="008531BF" w:rsidTr="00A220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A2208A" w:rsidRPr="008531BF" w:rsidRDefault="00A2208A" w:rsidP="00A2208A">
            <w:pPr>
              <w:jc w:val="center"/>
              <w:rPr>
                <w:rFonts w:ascii="Calibri" w:eastAsia="Times New Roman" w:hAnsi="Calibri" w:cs="Times New Roman"/>
                <w:color w:val="000000"/>
                <w:lang w:eastAsia="en-GB"/>
              </w:rPr>
            </w:pPr>
            <w:r w:rsidRPr="008531BF">
              <w:rPr>
                <w:rFonts w:ascii="Calibri" w:eastAsia="Times New Roman" w:hAnsi="Calibri" w:cs="Times New Roman"/>
                <w:color w:val="000000"/>
                <w:lang w:eastAsia="en-GB"/>
              </w:rPr>
              <w:t>OPM</w:t>
            </w:r>
          </w:p>
        </w:tc>
        <w:tc>
          <w:tcPr>
            <w:tcW w:w="0" w:type="auto"/>
            <w:tcBorders>
              <w:left w:val="none" w:sz="0" w:space="0" w:color="auto"/>
              <w:right w:val="none" w:sz="0" w:space="0" w:color="auto"/>
            </w:tcBorders>
            <w:noWrap/>
          </w:tcPr>
          <w:p w:rsidR="00A2208A" w:rsidRPr="008531BF" w:rsidRDefault="00203B6B" w:rsidP="00A2208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17.25%</w:t>
            </w:r>
          </w:p>
        </w:tc>
        <w:tc>
          <w:tcPr>
            <w:tcW w:w="0" w:type="auto"/>
            <w:tcBorders>
              <w:left w:val="none" w:sz="0" w:space="0" w:color="auto"/>
              <w:right w:val="none" w:sz="0" w:space="0" w:color="auto"/>
            </w:tcBorders>
            <w:noWrap/>
          </w:tcPr>
          <w:p w:rsidR="00A2208A" w:rsidRPr="008531BF" w:rsidRDefault="00203B6B" w:rsidP="00A2208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17.25%</w:t>
            </w:r>
          </w:p>
        </w:tc>
        <w:tc>
          <w:tcPr>
            <w:tcW w:w="0" w:type="auto"/>
            <w:tcBorders>
              <w:left w:val="none" w:sz="0" w:space="0" w:color="auto"/>
              <w:right w:val="none" w:sz="0" w:space="0" w:color="auto"/>
            </w:tcBorders>
            <w:noWrap/>
          </w:tcPr>
          <w:p w:rsidR="00A2208A" w:rsidRDefault="00203B6B" w:rsidP="00A2208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17.25%</w:t>
            </w:r>
          </w:p>
        </w:tc>
        <w:tc>
          <w:tcPr>
            <w:tcW w:w="0" w:type="auto"/>
            <w:tcBorders>
              <w:left w:val="none" w:sz="0" w:space="0" w:color="auto"/>
              <w:right w:val="none" w:sz="0" w:space="0" w:color="auto"/>
            </w:tcBorders>
            <w:noWrap/>
          </w:tcPr>
          <w:p w:rsidR="00A2208A" w:rsidRDefault="00203B6B" w:rsidP="00A2208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17.25%</w:t>
            </w:r>
          </w:p>
        </w:tc>
        <w:tc>
          <w:tcPr>
            <w:tcW w:w="0" w:type="auto"/>
            <w:tcBorders>
              <w:left w:val="none" w:sz="0" w:space="0" w:color="auto"/>
              <w:right w:val="none" w:sz="0" w:space="0" w:color="auto"/>
            </w:tcBorders>
            <w:noWrap/>
          </w:tcPr>
          <w:p w:rsidR="00A2208A" w:rsidRDefault="00203B6B" w:rsidP="00A2208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17.25%</w:t>
            </w:r>
          </w:p>
        </w:tc>
        <w:tc>
          <w:tcPr>
            <w:tcW w:w="0" w:type="auto"/>
            <w:tcBorders>
              <w:left w:val="none" w:sz="0" w:space="0" w:color="auto"/>
              <w:right w:val="none" w:sz="0" w:space="0" w:color="auto"/>
            </w:tcBorders>
            <w:noWrap/>
          </w:tcPr>
          <w:p w:rsidR="00A2208A" w:rsidRDefault="00203B6B" w:rsidP="00A2208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17.25%</w:t>
            </w:r>
          </w:p>
        </w:tc>
      </w:tr>
      <w:tr w:rsidR="00934954" w:rsidRPr="008531BF" w:rsidTr="00A2208A">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934954" w:rsidRPr="008531BF"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NetCapEx/Sales</w:t>
            </w:r>
          </w:p>
        </w:tc>
        <w:tc>
          <w:tcPr>
            <w:tcW w:w="0" w:type="auto"/>
            <w:noWrap/>
          </w:tcPr>
          <w:p w:rsidR="00934954" w:rsidRPr="008531BF"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23440B">
              <w:rPr>
                <w:rFonts w:ascii="Calibri" w:eastAsia="Times New Roman" w:hAnsi="Calibri" w:cs="Times New Roman"/>
                <w:color w:val="000000"/>
                <w:lang w:eastAsia="en-GB"/>
              </w:rPr>
              <w:t>5.18%</w:t>
            </w:r>
          </w:p>
        </w:tc>
        <w:tc>
          <w:tcPr>
            <w:tcW w:w="0" w:type="auto"/>
            <w:noWrap/>
          </w:tcPr>
          <w:p w:rsidR="00934954" w:rsidRDefault="00934954" w:rsidP="00934954">
            <w:pPr>
              <w:cnfStyle w:val="000000000000" w:firstRow="0" w:lastRow="0" w:firstColumn="0" w:lastColumn="0" w:oddVBand="0" w:evenVBand="0" w:oddHBand="0" w:evenHBand="0" w:firstRowFirstColumn="0" w:firstRowLastColumn="0" w:lastRowFirstColumn="0" w:lastRowLastColumn="0"/>
            </w:pPr>
            <w:r w:rsidRPr="0023440B">
              <w:rPr>
                <w:rFonts w:ascii="Calibri" w:eastAsia="Times New Roman" w:hAnsi="Calibri" w:cs="Times New Roman"/>
                <w:color w:val="000000"/>
                <w:lang w:eastAsia="en-GB"/>
              </w:rPr>
              <w:t>5.18%</w:t>
            </w:r>
          </w:p>
        </w:tc>
        <w:tc>
          <w:tcPr>
            <w:tcW w:w="0" w:type="auto"/>
            <w:noWrap/>
          </w:tcPr>
          <w:p w:rsidR="00934954" w:rsidRDefault="00934954" w:rsidP="00934954">
            <w:pPr>
              <w:cnfStyle w:val="000000000000" w:firstRow="0" w:lastRow="0" w:firstColumn="0" w:lastColumn="0" w:oddVBand="0" w:evenVBand="0" w:oddHBand="0" w:evenHBand="0" w:firstRowFirstColumn="0" w:firstRowLastColumn="0" w:lastRowFirstColumn="0" w:lastRowLastColumn="0"/>
            </w:pPr>
            <w:r w:rsidRPr="0023440B">
              <w:rPr>
                <w:rFonts w:ascii="Calibri" w:eastAsia="Times New Roman" w:hAnsi="Calibri" w:cs="Times New Roman"/>
                <w:color w:val="000000"/>
                <w:lang w:eastAsia="en-GB"/>
              </w:rPr>
              <w:t>5.18%</w:t>
            </w:r>
          </w:p>
        </w:tc>
        <w:tc>
          <w:tcPr>
            <w:tcW w:w="0" w:type="auto"/>
            <w:noWrap/>
          </w:tcPr>
          <w:p w:rsidR="00934954" w:rsidRDefault="00934954" w:rsidP="00934954">
            <w:pPr>
              <w:cnfStyle w:val="000000000000" w:firstRow="0" w:lastRow="0" w:firstColumn="0" w:lastColumn="0" w:oddVBand="0" w:evenVBand="0" w:oddHBand="0" w:evenHBand="0" w:firstRowFirstColumn="0" w:firstRowLastColumn="0" w:lastRowFirstColumn="0" w:lastRowLastColumn="0"/>
            </w:pPr>
            <w:r w:rsidRPr="0023440B">
              <w:rPr>
                <w:rFonts w:ascii="Calibri" w:eastAsia="Times New Roman" w:hAnsi="Calibri" w:cs="Times New Roman"/>
                <w:color w:val="000000"/>
                <w:lang w:eastAsia="en-GB"/>
              </w:rPr>
              <w:t>5.18%</w:t>
            </w:r>
          </w:p>
        </w:tc>
        <w:tc>
          <w:tcPr>
            <w:tcW w:w="0" w:type="auto"/>
            <w:noWrap/>
          </w:tcPr>
          <w:p w:rsidR="00934954" w:rsidRDefault="00934954" w:rsidP="00934954">
            <w:pPr>
              <w:cnfStyle w:val="000000000000" w:firstRow="0" w:lastRow="0" w:firstColumn="0" w:lastColumn="0" w:oddVBand="0" w:evenVBand="0" w:oddHBand="0" w:evenHBand="0" w:firstRowFirstColumn="0" w:firstRowLastColumn="0" w:lastRowFirstColumn="0" w:lastRowLastColumn="0"/>
            </w:pPr>
            <w:r w:rsidRPr="0023440B">
              <w:rPr>
                <w:rFonts w:ascii="Calibri" w:eastAsia="Times New Roman" w:hAnsi="Calibri" w:cs="Times New Roman"/>
                <w:color w:val="000000"/>
                <w:lang w:eastAsia="en-GB"/>
              </w:rPr>
              <w:t>5.18%</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23440B">
              <w:rPr>
                <w:rFonts w:ascii="Calibri" w:eastAsia="Times New Roman" w:hAnsi="Calibri" w:cs="Times New Roman"/>
                <w:color w:val="000000"/>
                <w:lang w:eastAsia="en-GB"/>
              </w:rPr>
              <w:t>5.18%</w:t>
            </w:r>
          </w:p>
        </w:tc>
      </w:tr>
      <w:tr w:rsidR="00934954" w:rsidRPr="008531BF" w:rsidTr="009349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934954"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NWC/Sales</w:t>
            </w:r>
          </w:p>
        </w:tc>
        <w:tc>
          <w:tcPr>
            <w:tcW w:w="0" w:type="auto"/>
            <w:tcBorders>
              <w:left w:val="none" w:sz="0" w:space="0" w:color="auto"/>
              <w:right w:val="none" w:sz="0" w:space="0" w:color="auto"/>
            </w:tcBorders>
            <w:noWrap/>
            <w:vAlign w:val="center"/>
          </w:tcPr>
          <w:p w:rsidR="00934954"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0.67%</w:t>
            </w:r>
          </w:p>
        </w:tc>
        <w:tc>
          <w:tcPr>
            <w:tcW w:w="0" w:type="auto"/>
            <w:tcBorders>
              <w:left w:val="none" w:sz="0" w:space="0" w:color="auto"/>
              <w:right w:val="none" w:sz="0" w:space="0" w:color="auto"/>
            </w:tcBorders>
            <w:noWrap/>
            <w:vAlign w:val="center"/>
          </w:tcPr>
          <w:p w:rsidR="00934954" w:rsidRPr="00E63844" w:rsidRDefault="00934954" w:rsidP="00934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1.34%</w:t>
            </w:r>
          </w:p>
        </w:tc>
        <w:tc>
          <w:tcPr>
            <w:tcW w:w="0" w:type="auto"/>
            <w:tcBorders>
              <w:left w:val="none" w:sz="0" w:space="0" w:color="auto"/>
              <w:right w:val="none" w:sz="0" w:space="0" w:color="auto"/>
            </w:tcBorders>
            <w:noWrap/>
            <w:vAlign w:val="center"/>
          </w:tcPr>
          <w:p w:rsidR="00934954" w:rsidRPr="00E63844" w:rsidRDefault="00934954" w:rsidP="00934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2.00%</w:t>
            </w:r>
          </w:p>
        </w:tc>
        <w:tc>
          <w:tcPr>
            <w:tcW w:w="0" w:type="auto"/>
            <w:tcBorders>
              <w:left w:val="none" w:sz="0" w:space="0" w:color="auto"/>
              <w:right w:val="none" w:sz="0" w:space="0" w:color="auto"/>
            </w:tcBorders>
            <w:noWrap/>
            <w:vAlign w:val="center"/>
          </w:tcPr>
          <w:p w:rsidR="00934954" w:rsidRPr="00E63844" w:rsidRDefault="00934954" w:rsidP="00934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2.67%</w:t>
            </w:r>
          </w:p>
        </w:tc>
        <w:tc>
          <w:tcPr>
            <w:tcW w:w="0" w:type="auto"/>
            <w:tcBorders>
              <w:left w:val="none" w:sz="0" w:space="0" w:color="auto"/>
              <w:right w:val="none" w:sz="0" w:space="0" w:color="auto"/>
            </w:tcBorders>
            <w:noWrap/>
            <w:vAlign w:val="center"/>
          </w:tcPr>
          <w:p w:rsidR="00934954" w:rsidRPr="00E63844" w:rsidRDefault="00934954" w:rsidP="0093495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3.34%</w:t>
            </w:r>
          </w:p>
        </w:tc>
        <w:tc>
          <w:tcPr>
            <w:tcW w:w="0" w:type="auto"/>
            <w:tcBorders>
              <w:left w:val="none" w:sz="0" w:space="0" w:color="auto"/>
              <w:right w:val="none" w:sz="0" w:space="0" w:color="auto"/>
            </w:tcBorders>
            <w:noWrap/>
            <w:vAlign w:val="center"/>
          </w:tcPr>
          <w:p w:rsidR="00934954" w:rsidRDefault="00934954" w:rsidP="0093495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hAnsi="Calibri" w:cs="Calibri"/>
                <w:color w:val="000000"/>
              </w:rPr>
              <w:t>3.34%</w:t>
            </w:r>
          </w:p>
        </w:tc>
      </w:tr>
      <w:tr w:rsidR="00934954" w:rsidRPr="008531BF" w:rsidTr="00A2208A">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tcPr>
          <w:p w:rsidR="00934954" w:rsidRDefault="00934954" w:rsidP="00934954">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Tax</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c>
          <w:tcPr>
            <w:tcW w:w="0" w:type="auto"/>
            <w:noWrap/>
          </w:tcPr>
          <w:p w:rsidR="00934954" w:rsidRDefault="00934954" w:rsidP="0093495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32.86%</w:t>
            </w:r>
          </w:p>
        </w:tc>
      </w:tr>
      <w:tr w:rsidR="00203B6B" w:rsidRPr="008531BF" w:rsidTr="00A2208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noWrap/>
          </w:tcPr>
          <w:p w:rsidR="00203B6B" w:rsidRDefault="00203B6B" w:rsidP="00203B6B">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Cost of Capital</w:t>
            </w:r>
          </w:p>
        </w:tc>
        <w:tc>
          <w:tcPr>
            <w:tcW w:w="0" w:type="auto"/>
            <w:tcBorders>
              <w:left w:val="none" w:sz="0" w:space="0" w:color="auto"/>
              <w:right w:val="none" w:sz="0" w:space="0" w:color="auto"/>
            </w:tcBorders>
            <w:noWrap/>
          </w:tcPr>
          <w:p w:rsidR="00203B6B" w:rsidRDefault="00203B6B"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9.97%</w:t>
            </w:r>
          </w:p>
        </w:tc>
        <w:tc>
          <w:tcPr>
            <w:tcW w:w="0" w:type="auto"/>
            <w:tcBorders>
              <w:left w:val="none" w:sz="0" w:space="0" w:color="auto"/>
              <w:right w:val="none" w:sz="0" w:space="0" w:color="auto"/>
            </w:tcBorders>
            <w:noWrap/>
          </w:tcPr>
          <w:p w:rsidR="00203B6B" w:rsidRDefault="00203B6B"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9.97%</w:t>
            </w:r>
          </w:p>
        </w:tc>
        <w:tc>
          <w:tcPr>
            <w:tcW w:w="0" w:type="auto"/>
            <w:tcBorders>
              <w:left w:val="none" w:sz="0" w:space="0" w:color="auto"/>
              <w:right w:val="none" w:sz="0" w:space="0" w:color="auto"/>
            </w:tcBorders>
            <w:noWrap/>
          </w:tcPr>
          <w:p w:rsidR="00203B6B" w:rsidRDefault="00203B6B"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9.97%</w:t>
            </w:r>
          </w:p>
        </w:tc>
        <w:tc>
          <w:tcPr>
            <w:tcW w:w="0" w:type="auto"/>
            <w:tcBorders>
              <w:left w:val="none" w:sz="0" w:space="0" w:color="auto"/>
              <w:right w:val="none" w:sz="0" w:space="0" w:color="auto"/>
            </w:tcBorders>
            <w:noWrap/>
          </w:tcPr>
          <w:p w:rsidR="00203B6B" w:rsidRDefault="00203B6B"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9.97%</w:t>
            </w:r>
          </w:p>
        </w:tc>
        <w:tc>
          <w:tcPr>
            <w:tcW w:w="0" w:type="auto"/>
            <w:tcBorders>
              <w:left w:val="none" w:sz="0" w:space="0" w:color="auto"/>
              <w:right w:val="none" w:sz="0" w:space="0" w:color="auto"/>
            </w:tcBorders>
            <w:noWrap/>
          </w:tcPr>
          <w:p w:rsidR="00203B6B" w:rsidRDefault="00203B6B"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9.97%</w:t>
            </w:r>
          </w:p>
        </w:tc>
        <w:tc>
          <w:tcPr>
            <w:tcW w:w="0" w:type="auto"/>
            <w:tcBorders>
              <w:left w:val="none" w:sz="0" w:space="0" w:color="auto"/>
              <w:right w:val="none" w:sz="0" w:space="0" w:color="auto"/>
            </w:tcBorders>
            <w:noWrap/>
          </w:tcPr>
          <w:p w:rsidR="00203B6B" w:rsidRDefault="00203B6B" w:rsidP="00203B6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9.97%</w:t>
            </w:r>
          </w:p>
        </w:tc>
      </w:tr>
    </w:tbl>
    <w:p w:rsidR="00FD7719" w:rsidRPr="00B93B23" w:rsidRDefault="00FD7719" w:rsidP="00FD7719">
      <w:pPr>
        <w:jc w:val="both"/>
      </w:pPr>
      <w:r>
        <w:t>The tax rate is the marginal tax rate for the US, We assume that Twitter will turn on the green side after around 3 to 4 years. Cost of capital is assumed to be consistent with industry standards. The FCFF are given below.</w:t>
      </w:r>
      <w:r w:rsidR="00E95628">
        <w:t xml:space="preserve"> </w:t>
      </w:r>
      <w:r>
        <w:t>Sales grow at a rate stated above, EBIT is computed given the stated operating margin, while the re-investment</w:t>
      </w:r>
      <w:r w:rsidR="00934954">
        <w:t>s</w:t>
      </w:r>
      <w:r>
        <w:t xml:space="preserve"> </w:t>
      </w:r>
      <w:r w:rsidR="00934954">
        <w:t>are NetCapEX=5.81%*</w:t>
      </w:r>
      <w:r w:rsidR="00934954" w:rsidRPr="00532964">
        <w:rPr>
          <w:b/>
        </w:rPr>
        <w:t>Sales</w:t>
      </w:r>
      <w:r w:rsidR="00934954">
        <w:t xml:space="preserve"> and </w:t>
      </w:r>
      <w:r w:rsidR="00934954">
        <w:rPr>
          <w:lang w:val="el-GR"/>
        </w:rPr>
        <w:t>Δ</w:t>
      </w:r>
      <w:r w:rsidR="00934954">
        <w:t>NWC=(0</w:t>
      </w:r>
      <w:r w:rsidR="00934954">
        <w:sym w:font="Wingdings" w:char="F0E8"/>
      </w:r>
      <w:r w:rsidR="00934954">
        <w:t>3.34%)x</w:t>
      </w:r>
      <w:r w:rsidR="00934954" w:rsidRPr="00532964">
        <w:rPr>
          <w:b/>
          <w:lang w:val="el-GR"/>
        </w:rPr>
        <w:t>Δ</w:t>
      </w:r>
      <w:r w:rsidR="00934954" w:rsidRPr="00532964">
        <w:rPr>
          <w:b/>
        </w:rPr>
        <w:t>Sales</w:t>
      </w:r>
      <w:r>
        <w:rPr>
          <w:b/>
        </w:rPr>
        <w:t xml:space="preserve">. </w:t>
      </w:r>
      <w:r>
        <w:t>FCFF is EBIT(1-T)-Re-investment. The Discounted FCFF is computed using 9.</w:t>
      </w:r>
      <w:r w:rsidR="00203B6B">
        <w:t>97</w:t>
      </w:r>
      <w:r>
        <w:t>% discount rate.</w:t>
      </w:r>
      <w:r w:rsidR="00203B6B">
        <w:t xml:space="preserve"> </w:t>
      </w:r>
    </w:p>
    <w:tbl>
      <w:tblPr>
        <w:tblW w:w="0" w:type="auto"/>
        <w:jc w:val="center"/>
        <w:tblLook w:val="04A0" w:firstRow="1" w:lastRow="0" w:firstColumn="1" w:lastColumn="0" w:noHBand="0" w:noVBand="1"/>
      </w:tblPr>
      <w:tblGrid>
        <w:gridCol w:w="1620"/>
        <w:gridCol w:w="1116"/>
        <w:gridCol w:w="943"/>
        <w:gridCol w:w="875"/>
        <w:gridCol w:w="875"/>
        <w:gridCol w:w="875"/>
        <w:gridCol w:w="875"/>
      </w:tblGrid>
      <w:tr w:rsidR="00934954" w:rsidRPr="00934954" w:rsidTr="00934954">
        <w:trPr>
          <w:trHeight w:val="20"/>
          <w:jc w:val="center"/>
        </w:trPr>
        <w:tc>
          <w:tcPr>
            <w:tcW w:w="0" w:type="auto"/>
            <w:tcBorders>
              <w:top w:val="nil"/>
              <w:left w:val="nil"/>
              <w:bottom w:val="double" w:sz="6" w:space="0" w:color="auto"/>
              <w:right w:val="nil"/>
            </w:tcBorders>
            <w:noWrap/>
            <w:vAlign w:val="center"/>
            <w:hideMark/>
          </w:tcPr>
          <w:p w:rsidR="00934954" w:rsidRPr="00934954" w:rsidRDefault="00934954">
            <w:pPr>
              <w:rPr>
                <w:rFonts w:ascii="Calibri" w:eastAsia="Times New Roman" w:hAnsi="Calibri" w:cs="Calibri"/>
                <w:color w:val="000000"/>
                <w:lang w:eastAsia="en-GB"/>
              </w:rPr>
            </w:pPr>
            <w:r w:rsidRPr="00934954">
              <w:rPr>
                <w:rFonts w:ascii="Calibri" w:eastAsia="Times New Roman" w:hAnsi="Calibri" w:cs="Calibri"/>
                <w:color w:val="000000"/>
                <w:lang w:eastAsia="en-GB"/>
              </w:rPr>
              <w:t> </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4</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growth</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45%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40%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25%</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Sales</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2.53</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3.67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5.14</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6.93</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9.01</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11.27</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OPM</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-14.51%</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15.00%</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EBIT</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-0.37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-0.26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0.45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1.69</w:t>
            </w:r>
          </w:p>
        </w:tc>
      </w:tr>
      <w:tr w:rsidR="00934954" w:rsidRPr="00934954" w:rsidTr="00934954">
        <w:trPr>
          <w:trHeight w:val="20"/>
          <w:jc w:val="center"/>
        </w:trPr>
        <w:tc>
          <w:tcPr>
            <w:tcW w:w="0" w:type="auto"/>
            <w:gridSpan w:val="2"/>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NetCapEx/Sales</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r>
      <w:tr w:rsidR="00934954" w:rsidRPr="00934954" w:rsidTr="00934954">
        <w:trPr>
          <w:trHeight w:val="20"/>
          <w:jc w:val="center"/>
        </w:trPr>
        <w:tc>
          <w:tcPr>
            <w:tcW w:w="0" w:type="auto"/>
            <w:gridSpan w:val="2"/>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NWC/Sales</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NetCapEx</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0.19</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0.27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0.36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0.47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0.58</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ΔNWC</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0.00</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Tax</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FCFF</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-0.52</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-0.36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-0.16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0.55</w:t>
            </w:r>
          </w:p>
        </w:tc>
      </w:tr>
      <w:tr w:rsidR="00934954" w:rsidRPr="00934954" w:rsidTr="00934954">
        <w:trPr>
          <w:trHeight w:val="20"/>
          <w:jc w:val="center"/>
        </w:trPr>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DFCFF</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 </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-0.51</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-0.43</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-0.27</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-0.11</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0.34</w:t>
            </w:r>
          </w:p>
        </w:tc>
      </w:tr>
      <w:tr w:rsidR="00934954" w:rsidRPr="00934954" w:rsidTr="00934954">
        <w:trPr>
          <w:trHeight w:val="20"/>
          <w:jc w:val="center"/>
        </w:trPr>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 </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6</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7</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8</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9</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10</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11</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growth</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Sales</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13.52</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15.55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17.10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18.47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19.58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13.93</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OPM</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17.25%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17.25%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17.25%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17.25%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17.25%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17.25%</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EBIT</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2.33</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2.68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2.95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3.19</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3.38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2.40</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NetCapEx/Sales</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5.18%</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NWC/Sales</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0.67%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1.34%</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2.00%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2.67%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3.34%</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3.34%</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NetCapEx</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0.70</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0.81</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0.89</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0.96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1.01</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0.72</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ΔNWC</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0.02</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0.03</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0.03</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0.04</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0.04</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0.01</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Tax</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32.86%</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FCFF</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0.85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0.97</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1.06</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1.15</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1.22</w:t>
            </w:r>
          </w:p>
        </w:tc>
        <w:tc>
          <w:tcPr>
            <w:tcW w:w="0" w:type="auto"/>
            <w:tcBorders>
              <w:top w:val="nil"/>
              <w:left w:val="nil"/>
              <w:bottom w:val="nil"/>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0.88</w:t>
            </w:r>
          </w:p>
        </w:tc>
      </w:tr>
      <w:tr w:rsidR="00934954" w:rsidRPr="00934954" w:rsidTr="00934954">
        <w:trPr>
          <w:trHeight w:val="20"/>
          <w:jc w:val="center"/>
        </w:trPr>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DFCFF</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0.48</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0.50</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0.50</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0.49</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0.47</w:t>
            </w:r>
          </w:p>
        </w:tc>
        <w:tc>
          <w:tcPr>
            <w:tcW w:w="0" w:type="auto"/>
            <w:tcBorders>
              <w:top w:val="nil"/>
              <w:left w:val="nil"/>
              <w:bottom w:val="double" w:sz="6" w:space="0" w:color="auto"/>
              <w:right w:val="nil"/>
            </w:tcBorders>
            <w:noWrap/>
            <w:vAlign w:val="center"/>
            <w:hideMark/>
          </w:tcPr>
          <w:p w:rsidR="00934954" w:rsidRPr="00934954" w:rsidRDefault="00934954" w:rsidP="00934954">
            <w:pPr>
              <w:spacing w:after="0" w:line="240" w:lineRule="auto"/>
              <w:jc w:val="right"/>
              <w:rPr>
                <w:rFonts w:ascii="Calibri" w:eastAsia="Times New Roman" w:hAnsi="Calibri" w:cs="Calibri"/>
                <w:color w:val="000000"/>
                <w:lang w:eastAsia="en-GB"/>
              </w:rPr>
            </w:pPr>
            <w:r w:rsidRPr="00934954">
              <w:rPr>
                <w:rFonts w:ascii="Calibri" w:eastAsia="Times New Roman" w:hAnsi="Calibri" w:cs="Calibri"/>
                <w:color w:val="000000"/>
                <w:lang w:eastAsia="en-GB"/>
              </w:rPr>
              <w:t>4.87</w:t>
            </w:r>
          </w:p>
        </w:tc>
      </w:tr>
      <w:tr w:rsidR="00934954" w:rsidRPr="00934954" w:rsidTr="00934954">
        <w:trPr>
          <w:trHeight w:val="20"/>
          <w:jc w:val="center"/>
        </w:trPr>
        <w:tc>
          <w:tcPr>
            <w:tcW w:w="0" w:type="auto"/>
            <w:tcBorders>
              <w:top w:val="nil"/>
              <w:left w:val="nil"/>
              <w:bottom w:val="nil"/>
              <w:right w:val="nil"/>
            </w:tcBorders>
            <w:noWrap/>
            <w:vAlign w:val="center"/>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Vf</w:t>
            </w:r>
          </w:p>
        </w:tc>
        <w:tc>
          <w:tcPr>
            <w:tcW w:w="0" w:type="auto"/>
            <w:tcBorders>
              <w:top w:val="nil"/>
              <w:left w:val="nil"/>
              <w:bottom w:val="nil"/>
              <w:right w:val="nil"/>
            </w:tcBorders>
            <w:noWrap/>
            <w:vAlign w:val="bottom"/>
            <w:hideMark/>
          </w:tcPr>
          <w:p w:rsidR="00934954" w:rsidRPr="00934954" w:rsidRDefault="00934954" w:rsidP="00934954">
            <w:pPr>
              <w:spacing w:after="0" w:line="240" w:lineRule="auto"/>
              <w:rPr>
                <w:rFonts w:ascii="Calibri" w:eastAsia="Times New Roman" w:hAnsi="Calibri" w:cs="Calibri"/>
                <w:color w:val="000000"/>
                <w:lang w:eastAsia="en-GB"/>
              </w:rPr>
            </w:pPr>
            <w:r w:rsidRPr="00934954">
              <w:rPr>
                <w:rFonts w:ascii="Calibri" w:eastAsia="Times New Roman" w:hAnsi="Calibri" w:cs="Calibri"/>
                <w:color w:val="000000"/>
                <w:lang w:eastAsia="en-GB"/>
              </w:rPr>
              <w:t xml:space="preserve"> $       6.32 </w:t>
            </w:r>
          </w:p>
        </w:tc>
        <w:tc>
          <w:tcPr>
            <w:tcW w:w="0" w:type="auto"/>
            <w:tcBorders>
              <w:top w:val="nil"/>
              <w:left w:val="nil"/>
              <w:bottom w:val="nil"/>
              <w:right w:val="nil"/>
            </w:tcBorders>
            <w:noWrap/>
            <w:vAlign w:val="bottom"/>
            <w:hideMark/>
          </w:tcPr>
          <w:p w:rsidR="00934954" w:rsidRPr="00934954" w:rsidRDefault="00934954" w:rsidP="00934954">
            <w:pPr>
              <w:spacing w:after="0" w:line="240" w:lineRule="auto"/>
              <w:rPr>
                <w:rFonts w:ascii="Calibri" w:eastAsia="Times New Roman" w:hAnsi="Calibri" w:cs="Calibri"/>
                <w:color w:val="000000"/>
                <w:lang w:eastAsia="en-GB"/>
              </w:rPr>
            </w:pPr>
          </w:p>
        </w:tc>
        <w:tc>
          <w:tcPr>
            <w:tcW w:w="0" w:type="auto"/>
            <w:tcBorders>
              <w:top w:val="nil"/>
              <w:left w:val="nil"/>
              <w:bottom w:val="nil"/>
              <w:right w:val="nil"/>
            </w:tcBorders>
            <w:noWrap/>
            <w:vAlign w:val="bottom"/>
            <w:hideMark/>
          </w:tcPr>
          <w:p w:rsidR="00934954" w:rsidRPr="00934954" w:rsidRDefault="00934954" w:rsidP="00934954">
            <w:pPr>
              <w:spacing w:after="0" w:line="240" w:lineRule="auto"/>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bottom"/>
            <w:hideMark/>
          </w:tcPr>
          <w:p w:rsidR="00934954" w:rsidRPr="00934954" w:rsidRDefault="00934954" w:rsidP="00934954">
            <w:pPr>
              <w:spacing w:after="0" w:line="240" w:lineRule="auto"/>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bottom"/>
            <w:hideMark/>
          </w:tcPr>
          <w:p w:rsidR="00934954" w:rsidRPr="00934954" w:rsidRDefault="00934954" w:rsidP="00934954">
            <w:pPr>
              <w:spacing w:after="0" w:line="240" w:lineRule="auto"/>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bottom"/>
            <w:hideMark/>
          </w:tcPr>
          <w:p w:rsidR="00934954" w:rsidRPr="00934954" w:rsidRDefault="00934954" w:rsidP="00934954">
            <w:pPr>
              <w:spacing w:after="0" w:line="240" w:lineRule="auto"/>
              <w:rPr>
                <w:rFonts w:ascii="Times New Roman" w:eastAsia="Times New Roman" w:hAnsi="Times New Roman" w:cs="Times New Roman"/>
                <w:sz w:val="20"/>
                <w:szCs w:val="20"/>
                <w:lang w:eastAsia="en-GB"/>
              </w:rPr>
            </w:pPr>
          </w:p>
        </w:tc>
      </w:tr>
    </w:tbl>
    <w:p w:rsidR="00934954" w:rsidRDefault="00934954" w:rsidP="00FD7719">
      <w:pPr>
        <w:jc w:val="both"/>
      </w:pPr>
    </w:p>
    <w:p w:rsidR="00FD7719" w:rsidRDefault="00FD7719" w:rsidP="00FD7719">
      <w:pPr>
        <w:jc w:val="both"/>
      </w:pPr>
      <w:r>
        <w:t>From Twitter’s annual report we see that report Cash and securities equal to around $</w:t>
      </w:r>
      <w:r w:rsidR="00E23DD3">
        <w:t>3.44</w:t>
      </w:r>
      <w:r>
        <w:t>b (Cash $</w:t>
      </w:r>
      <w:r w:rsidR="00E23DD3">
        <w:t>253.8</w:t>
      </w:r>
      <w:r>
        <w:t>m + Short term investments $</w:t>
      </w:r>
      <w:r w:rsidR="00E23DD3">
        <w:t>2,768</w:t>
      </w:r>
      <w:r>
        <w:t>m</w:t>
      </w:r>
      <w:r w:rsidR="00E23DD3">
        <w:t xml:space="preserve"> + Money Market Funds 422.5</w:t>
      </w:r>
      <w:r>
        <w:t>), while debt</w:t>
      </w:r>
      <w:r w:rsidR="00E23DD3">
        <w:t xml:space="preserve"> is </w:t>
      </w:r>
      <w:r w:rsidR="00361C0E">
        <w:t>$</w:t>
      </w:r>
      <w:r w:rsidR="00E23DD3">
        <w:t>1.69b</w:t>
      </w:r>
      <w:r>
        <w:t xml:space="preserve">. Consequently, Value of equity, is: </w:t>
      </w:r>
    </w:p>
    <w:p w:rsidR="00361C0E" w:rsidRDefault="00000000" w:rsidP="00361C0E">
      <w:pPr>
        <w:jc w:val="both"/>
      </w:pPr>
      <m:oMathPara>
        <m:oMath>
          <m:sSub>
            <m:sSubPr>
              <m:ctrlPr>
                <w:rPr>
                  <w:rFonts w:ascii="Cambria Math" w:hAnsi="Cambria Math"/>
                  <w:i/>
                </w:rPr>
              </m:ctrlPr>
            </m:sSubPr>
            <m:e>
              <m:r>
                <w:rPr>
                  <w:rFonts w:ascii="Cambria Math" w:hAnsi="Cambria Math"/>
                </w:rPr>
                <m:t>MV</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+CASH-</m:t>
          </m:r>
          <m:sSub>
            <m:sSubPr>
              <m:ctrlPr>
                <w:rPr>
                  <w:rFonts w:ascii="Cambria Math" w:hAnsi="Cambria Math"/>
                  <w:i/>
                </w:rPr>
              </m:ctrlPr>
            </m:sSubPr>
            <m:e>
              <m:r>
                <w:rPr>
                  <w:rFonts w:ascii="Cambria Math" w:hAnsi="Cambria Math"/>
                </w:rPr>
                <m:t>MV</m:t>
              </m:r>
            </m:e>
            <m:sub>
              <m:r>
                <w:rPr>
                  <w:rFonts w:ascii="Cambria Math" w:hAnsi="Cambria Math"/>
                </w:rPr>
                <m:t>D</m:t>
              </m:r>
            </m:sub>
          </m:sSub>
          <m:r>
            <w:rPr>
              <w:rFonts w:ascii="Cambria Math" w:eastAsiaTheme="minorEastAsia" w:hAnsi="Cambria Math"/>
            </w:rPr>
            <m:t>=$6.32b+$3.44b-$1.69=$8.07b or $11.11 per share</m:t>
          </m:r>
        </m:oMath>
      </m:oMathPara>
    </w:p>
    <w:p w:rsidR="007837EE" w:rsidRDefault="00E23DD3" w:rsidP="007837EE">
      <w:pPr>
        <w:jc w:val="both"/>
      </w:pPr>
      <w:r>
        <w:t>This seems to be much closer to reality, as well as the market price. Still Twitter would be a rather strong sell. It underperforms its competitors and the initially high expectation of growth does not seem to be realized.</w:t>
      </w:r>
      <w:r w:rsidR="007837EE">
        <w:br w:type="page"/>
      </w:r>
    </w:p>
    <w:p w:rsidR="00E23DD3" w:rsidRPr="007837EE" w:rsidRDefault="007837EE" w:rsidP="00E23DD3">
      <w:pPr>
        <w:jc w:val="both"/>
        <w:rPr>
          <w:b/>
        </w:rPr>
      </w:pPr>
      <w:r w:rsidRPr="007837EE">
        <w:rPr>
          <w:b/>
        </w:rPr>
        <w:t>Valuation April 2018</w:t>
      </w:r>
    </w:p>
    <w:p w:rsidR="007837EE" w:rsidRDefault="007837EE" w:rsidP="00E23DD3">
      <w:pPr>
        <w:jc w:val="both"/>
      </w:pPr>
      <w:r>
        <w:t>Twitter generates positive earnings for the first time</w:t>
      </w:r>
      <w:r w:rsidR="002904A5">
        <w:t xml:space="preserve"> (Current price around $25)</w:t>
      </w:r>
      <w:r>
        <w:t>!</w:t>
      </w:r>
    </w:p>
    <w:p w:rsidR="007837EE" w:rsidRDefault="007837EE" w:rsidP="00E23DD3">
      <w:pPr>
        <w:jc w:val="both"/>
      </w:pPr>
      <w:r>
        <w:t>According to the previous valuations (especially the IPO and March 2014), Twitter was expected to generate positive Operating margin and positive income for the first time in 2017-2018. This was indeed realized and Twitter reports the following fundamentals in the annual report of 2017.</w:t>
      </w:r>
    </w:p>
    <w:tbl>
      <w:tblPr>
        <w:tblStyle w:val="Tablaconcuadrcula"/>
        <w:tblW w:w="0" w:type="auto"/>
        <w:tblLook w:val="04A0" w:firstRow="1" w:lastRow="0" w:firstColumn="1" w:lastColumn="0" w:noHBand="0" w:noVBand="1"/>
      </w:tblPr>
      <w:tblGrid>
        <w:gridCol w:w="4508"/>
        <w:gridCol w:w="4508"/>
      </w:tblGrid>
      <w:tr w:rsidR="007837EE" w:rsidTr="007837EE">
        <w:tc>
          <w:tcPr>
            <w:tcW w:w="4508" w:type="dxa"/>
            <w:vAlign w:val="center"/>
          </w:tcPr>
          <w:p w:rsidR="007837EE" w:rsidRPr="00DC3BA3" w:rsidRDefault="007837EE" w:rsidP="007837EE">
            <w:pPr>
              <w:jc w:val="center"/>
              <w:rPr>
                <w:b/>
              </w:rPr>
            </w:pPr>
            <w:r w:rsidRPr="00DC3BA3">
              <w:rPr>
                <w:b/>
              </w:rPr>
              <w:t>Item</w:t>
            </w:r>
          </w:p>
        </w:tc>
        <w:tc>
          <w:tcPr>
            <w:tcW w:w="4508" w:type="dxa"/>
            <w:vAlign w:val="center"/>
          </w:tcPr>
          <w:p w:rsidR="007837EE" w:rsidRPr="00DC3BA3" w:rsidRDefault="007837EE" w:rsidP="007837EE">
            <w:pPr>
              <w:jc w:val="center"/>
              <w:rPr>
                <w:b/>
              </w:rPr>
            </w:pPr>
            <w:r w:rsidRPr="00DC3BA3">
              <w:rPr>
                <w:b/>
              </w:rPr>
              <w:t>Value</w:t>
            </w:r>
          </w:p>
        </w:tc>
      </w:tr>
      <w:tr w:rsidR="007837EE" w:rsidTr="00C803EE">
        <w:trPr>
          <w:trHeight w:val="690"/>
        </w:trPr>
        <w:tc>
          <w:tcPr>
            <w:tcW w:w="4508" w:type="dxa"/>
            <w:vAlign w:val="center"/>
          </w:tcPr>
          <w:p w:rsidR="007837EE" w:rsidRDefault="007837EE" w:rsidP="007837EE">
            <w:pPr>
              <w:jc w:val="center"/>
            </w:pPr>
            <w:r>
              <w:t>Revenue</w:t>
            </w:r>
          </w:p>
        </w:tc>
        <w:tc>
          <w:tcPr>
            <w:tcW w:w="4508" w:type="dxa"/>
            <w:vAlign w:val="center"/>
          </w:tcPr>
          <w:p w:rsidR="007837EE" w:rsidRDefault="007837EE" w:rsidP="007837EE">
            <w:pPr>
              <w:jc w:val="center"/>
            </w:pPr>
            <w:r>
              <w:t>$2,110m</w:t>
            </w:r>
          </w:p>
        </w:tc>
      </w:tr>
      <w:tr w:rsidR="007837EE" w:rsidTr="007837EE">
        <w:tc>
          <w:tcPr>
            <w:tcW w:w="4508" w:type="dxa"/>
            <w:vAlign w:val="center"/>
          </w:tcPr>
          <w:p w:rsidR="007837EE" w:rsidRDefault="007837EE" w:rsidP="007837EE">
            <w:pPr>
              <w:jc w:val="center"/>
            </w:pPr>
            <w:r>
              <w:t>NI (excluding Extraordinary items)</w:t>
            </w:r>
          </w:p>
        </w:tc>
        <w:tc>
          <w:tcPr>
            <w:tcW w:w="4508" w:type="dxa"/>
            <w:vAlign w:val="center"/>
          </w:tcPr>
          <w:p w:rsidR="007837EE" w:rsidRDefault="007837EE" w:rsidP="007837EE">
            <w:pPr>
              <w:jc w:val="center"/>
            </w:pPr>
            <w:r>
              <w:t>$244.8m</w:t>
            </w:r>
          </w:p>
        </w:tc>
      </w:tr>
      <w:tr w:rsidR="007837EE" w:rsidTr="007837EE">
        <w:tc>
          <w:tcPr>
            <w:tcW w:w="4508" w:type="dxa"/>
            <w:vAlign w:val="center"/>
          </w:tcPr>
          <w:p w:rsidR="007837EE" w:rsidRDefault="007837EE" w:rsidP="007837EE">
            <w:pPr>
              <w:jc w:val="center"/>
            </w:pPr>
            <w:r>
              <w:t>NPM</w:t>
            </w:r>
          </w:p>
        </w:tc>
        <w:tc>
          <w:tcPr>
            <w:tcW w:w="4508" w:type="dxa"/>
            <w:vAlign w:val="center"/>
          </w:tcPr>
          <w:p w:rsidR="007837EE" w:rsidRDefault="007837EE" w:rsidP="007837EE">
            <w:pPr>
              <w:jc w:val="center"/>
            </w:pPr>
            <w:r>
              <w:t>11.6%</w:t>
            </w:r>
          </w:p>
        </w:tc>
      </w:tr>
      <w:tr w:rsidR="007837EE" w:rsidTr="007837EE">
        <w:tc>
          <w:tcPr>
            <w:tcW w:w="4508" w:type="dxa"/>
            <w:vAlign w:val="center"/>
          </w:tcPr>
          <w:p w:rsidR="007837EE" w:rsidRDefault="007837EE" w:rsidP="007837EE">
            <w:pPr>
              <w:jc w:val="center"/>
            </w:pPr>
            <w:r>
              <w:t>NPM (industry)</w:t>
            </w:r>
          </w:p>
        </w:tc>
        <w:tc>
          <w:tcPr>
            <w:tcW w:w="4508" w:type="dxa"/>
            <w:vAlign w:val="center"/>
          </w:tcPr>
          <w:p w:rsidR="007837EE" w:rsidRDefault="007837EE" w:rsidP="007837EE">
            <w:pPr>
              <w:jc w:val="center"/>
            </w:pPr>
            <w:r>
              <w:t>13.08%</w:t>
            </w:r>
          </w:p>
        </w:tc>
      </w:tr>
      <w:tr w:rsidR="007837EE" w:rsidTr="007837EE">
        <w:tc>
          <w:tcPr>
            <w:tcW w:w="4508" w:type="dxa"/>
            <w:vAlign w:val="center"/>
          </w:tcPr>
          <w:p w:rsidR="007837EE" w:rsidRDefault="007837EE" w:rsidP="007837EE">
            <w:pPr>
              <w:jc w:val="center"/>
            </w:pPr>
            <w:r>
              <w:t>Growth in sales</w:t>
            </w:r>
          </w:p>
        </w:tc>
        <w:tc>
          <w:tcPr>
            <w:tcW w:w="4508" w:type="dxa"/>
            <w:vAlign w:val="center"/>
          </w:tcPr>
          <w:p w:rsidR="007837EE" w:rsidRDefault="00E27B04" w:rsidP="007837EE">
            <w:pPr>
              <w:jc w:val="center"/>
            </w:pPr>
            <w:r>
              <w:t>-5%</w:t>
            </w:r>
          </w:p>
        </w:tc>
      </w:tr>
      <w:tr w:rsidR="00E27B04" w:rsidTr="007837EE">
        <w:tc>
          <w:tcPr>
            <w:tcW w:w="4508" w:type="dxa"/>
            <w:vAlign w:val="center"/>
          </w:tcPr>
          <w:p w:rsidR="00E27B04" w:rsidRDefault="00E27B04" w:rsidP="00E27B04">
            <w:pPr>
              <w:jc w:val="center"/>
            </w:pPr>
            <w:r>
              <w:t>Growth in MAU (0.319m</w:t>
            </w:r>
            <w:r>
              <w:rPr>
                <w:rFonts w:cstheme="minorHAnsi"/>
              </w:rPr>
              <w:t>→</w:t>
            </w:r>
            <w:r>
              <w:t>0.33m)</w:t>
            </w:r>
          </w:p>
        </w:tc>
        <w:tc>
          <w:tcPr>
            <w:tcW w:w="4508" w:type="dxa"/>
            <w:vAlign w:val="center"/>
          </w:tcPr>
          <w:p w:rsidR="00E27B04" w:rsidRDefault="00E27B04" w:rsidP="007837EE">
            <w:pPr>
              <w:jc w:val="center"/>
            </w:pPr>
            <w:r>
              <w:rPr>
                <w:rFonts w:cstheme="minorHAnsi"/>
              </w:rPr>
              <w:t>≈</w:t>
            </w:r>
            <w:r>
              <w:t>1%</w:t>
            </w:r>
          </w:p>
        </w:tc>
      </w:tr>
      <w:tr w:rsidR="007837EE" w:rsidTr="007837EE">
        <w:tc>
          <w:tcPr>
            <w:tcW w:w="4508" w:type="dxa"/>
            <w:vAlign w:val="center"/>
          </w:tcPr>
          <w:p w:rsidR="007837EE" w:rsidRDefault="007837EE" w:rsidP="007837EE">
            <w:pPr>
              <w:jc w:val="center"/>
            </w:pPr>
            <w:r>
              <w:t>beta</w:t>
            </w:r>
          </w:p>
        </w:tc>
        <w:tc>
          <w:tcPr>
            <w:tcW w:w="4508" w:type="dxa"/>
            <w:vAlign w:val="center"/>
          </w:tcPr>
          <w:p w:rsidR="007837EE" w:rsidRDefault="007837EE" w:rsidP="007837EE">
            <w:pPr>
              <w:jc w:val="center"/>
            </w:pPr>
            <w:r>
              <w:t>0.42</w:t>
            </w:r>
          </w:p>
        </w:tc>
      </w:tr>
      <w:tr w:rsidR="007837EE" w:rsidTr="007837EE">
        <w:tc>
          <w:tcPr>
            <w:tcW w:w="4508" w:type="dxa"/>
            <w:vAlign w:val="center"/>
          </w:tcPr>
          <w:p w:rsidR="007837EE" w:rsidRDefault="007837EE" w:rsidP="007837EE">
            <w:pPr>
              <w:jc w:val="center"/>
            </w:pPr>
            <w:r>
              <w:t>MRP</w:t>
            </w:r>
          </w:p>
        </w:tc>
        <w:tc>
          <w:tcPr>
            <w:tcW w:w="4508" w:type="dxa"/>
            <w:vAlign w:val="center"/>
          </w:tcPr>
          <w:p w:rsidR="007837EE" w:rsidRDefault="007837EE" w:rsidP="007837EE">
            <w:pPr>
              <w:jc w:val="center"/>
            </w:pPr>
            <w:r>
              <w:t>5.08%</w:t>
            </w:r>
          </w:p>
        </w:tc>
      </w:tr>
      <w:tr w:rsidR="007837EE" w:rsidTr="007837EE">
        <w:tc>
          <w:tcPr>
            <w:tcW w:w="4508" w:type="dxa"/>
            <w:vAlign w:val="center"/>
          </w:tcPr>
          <w:p w:rsidR="007837EE" w:rsidRDefault="007837EE" w:rsidP="007837EE">
            <w:pPr>
              <w:jc w:val="center"/>
            </w:pPr>
            <w:r>
              <w:t>10y American Treasury bond yield</w:t>
            </w:r>
          </w:p>
        </w:tc>
        <w:tc>
          <w:tcPr>
            <w:tcW w:w="4508" w:type="dxa"/>
            <w:vAlign w:val="center"/>
          </w:tcPr>
          <w:p w:rsidR="007837EE" w:rsidRDefault="007837EE" w:rsidP="007837EE">
            <w:pPr>
              <w:jc w:val="center"/>
            </w:pPr>
            <w:r>
              <w:t>Long term expectation 3%</w:t>
            </w:r>
          </w:p>
        </w:tc>
      </w:tr>
      <w:tr w:rsidR="007837EE" w:rsidTr="007837EE">
        <w:tc>
          <w:tcPr>
            <w:tcW w:w="4508" w:type="dxa"/>
            <w:vAlign w:val="center"/>
          </w:tcPr>
          <w:p w:rsidR="007837EE" w:rsidRDefault="00E27B04" w:rsidP="007837EE">
            <w:pPr>
              <w:jc w:val="center"/>
            </w:pPr>
            <w:r>
              <w:t>NCE</w:t>
            </w:r>
          </w:p>
        </w:tc>
        <w:tc>
          <w:tcPr>
            <w:tcW w:w="4508" w:type="dxa"/>
            <w:vAlign w:val="center"/>
          </w:tcPr>
          <w:p w:rsidR="007837EE" w:rsidRDefault="00E27B04" w:rsidP="007837EE">
            <w:pPr>
              <w:jc w:val="center"/>
            </w:pPr>
            <w:r>
              <w:t>8.35% of Revenue</w:t>
            </w:r>
          </w:p>
        </w:tc>
      </w:tr>
      <w:tr w:rsidR="00E27B04" w:rsidTr="007837EE">
        <w:tc>
          <w:tcPr>
            <w:tcW w:w="4508" w:type="dxa"/>
            <w:vAlign w:val="center"/>
          </w:tcPr>
          <w:p w:rsidR="00E27B04" w:rsidRDefault="00E27B04" w:rsidP="007837EE">
            <w:pPr>
              <w:jc w:val="center"/>
            </w:pPr>
            <w:r>
              <w:rPr>
                <w:lang w:val="el-GR"/>
              </w:rPr>
              <w:t>Δ</w:t>
            </w:r>
            <w:r>
              <w:t>NWC</w:t>
            </w:r>
          </w:p>
        </w:tc>
        <w:tc>
          <w:tcPr>
            <w:tcW w:w="4508" w:type="dxa"/>
            <w:vAlign w:val="center"/>
          </w:tcPr>
          <w:p w:rsidR="00E27B04" w:rsidRDefault="00E27B04" w:rsidP="00E27B04">
            <w:pPr>
              <w:jc w:val="center"/>
            </w:pPr>
            <w:r>
              <w:t xml:space="preserve">9.95% of </w:t>
            </w:r>
            <w:r>
              <w:rPr>
                <w:lang w:val="el-GR"/>
              </w:rPr>
              <w:t>Δ</w:t>
            </w:r>
            <w:r>
              <w:t xml:space="preserve">Sales </w:t>
            </w:r>
          </w:p>
        </w:tc>
      </w:tr>
      <w:tr w:rsidR="00DC3BA3" w:rsidTr="007837EE">
        <w:tc>
          <w:tcPr>
            <w:tcW w:w="4508" w:type="dxa"/>
            <w:vAlign w:val="center"/>
          </w:tcPr>
          <w:p w:rsidR="00DC3BA3" w:rsidRPr="00DC3BA3" w:rsidRDefault="00DC3BA3" w:rsidP="00637FDB">
            <w:pPr>
              <w:jc w:val="center"/>
              <w:rPr>
                <w:vertAlign w:val="superscript"/>
              </w:rPr>
            </w:pPr>
            <w:r>
              <w:t>ROE</w:t>
            </w:r>
            <w:r w:rsidR="00637FDB">
              <w:t xml:space="preserve"> (EIKON)</w:t>
            </w:r>
          </w:p>
        </w:tc>
        <w:tc>
          <w:tcPr>
            <w:tcW w:w="4508" w:type="dxa"/>
            <w:vAlign w:val="center"/>
          </w:tcPr>
          <w:p w:rsidR="00DC3BA3" w:rsidRDefault="0036672B" w:rsidP="00E27B04">
            <w:pPr>
              <w:jc w:val="center"/>
            </w:pPr>
            <w:r>
              <w:t>4</w:t>
            </w:r>
            <w:r w:rsidR="00DC3BA3">
              <w:t>.85%</w:t>
            </w:r>
          </w:p>
        </w:tc>
      </w:tr>
      <w:tr w:rsidR="00637FDB" w:rsidTr="007837EE">
        <w:tc>
          <w:tcPr>
            <w:tcW w:w="4508" w:type="dxa"/>
            <w:vAlign w:val="center"/>
          </w:tcPr>
          <w:p w:rsidR="00637FDB" w:rsidRDefault="00637FDB" w:rsidP="007837EE">
            <w:pPr>
              <w:jc w:val="center"/>
            </w:pPr>
            <w:r>
              <w:t>#shares</w:t>
            </w:r>
          </w:p>
        </w:tc>
        <w:tc>
          <w:tcPr>
            <w:tcW w:w="4508" w:type="dxa"/>
            <w:vAlign w:val="center"/>
          </w:tcPr>
          <w:p w:rsidR="00637FDB" w:rsidRDefault="00637FDB" w:rsidP="00E27B04">
            <w:pPr>
              <w:jc w:val="center"/>
            </w:pPr>
            <w:r>
              <w:t>750.90m</w:t>
            </w:r>
          </w:p>
        </w:tc>
      </w:tr>
      <w:tr w:rsidR="0036672B" w:rsidTr="007837EE">
        <w:tc>
          <w:tcPr>
            <w:tcW w:w="4508" w:type="dxa"/>
            <w:vAlign w:val="center"/>
          </w:tcPr>
          <w:p w:rsidR="0036672B" w:rsidRPr="0036672B" w:rsidRDefault="002E1638" w:rsidP="007837EE">
            <w:pPr>
              <w:jc w:val="center"/>
            </w:pPr>
            <w:r>
              <w:rPr>
                <w:lang w:val="el-GR"/>
              </w:rPr>
              <w:t>δ</w:t>
            </w:r>
            <w:r w:rsidR="0036672B">
              <w:t xml:space="preserve"> (EIKON)</w:t>
            </w:r>
          </w:p>
        </w:tc>
        <w:tc>
          <w:tcPr>
            <w:tcW w:w="4508" w:type="dxa"/>
            <w:vAlign w:val="center"/>
          </w:tcPr>
          <w:p w:rsidR="0036672B" w:rsidRDefault="0036672B" w:rsidP="00E27B04">
            <w:pPr>
              <w:jc w:val="center"/>
            </w:pPr>
            <w:r>
              <w:t>25%</w:t>
            </w:r>
          </w:p>
        </w:tc>
      </w:tr>
    </w:tbl>
    <w:p w:rsidR="0036672B" w:rsidRDefault="0036672B" w:rsidP="00E23DD3">
      <w:pPr>
        <w:jc w:val="both"/>
      </w:pPr>
    </w:p>
    <w:p w:rsidR="00E27B04" w:rsidRDefault="00E27B04" w:rsidP="00E23DD3">
      <w:pPr>
        <w:jc w:val="both"/>
      </w:pPr>
      <w:r>
        <w:t xml:space="preserve">In addition, with respect to comparable firms, Twitter seems to be the leading company, given that Facebook faces some severe price pressure due to scandals. </w:t>
      </w:r>
    </w:p>
    <w:p w:rsidR="0036672B" w:rsidRDefault="0036672B" w:rsidP="00E23DD3">
      <w:pPr>
        <w:jc w:val="both"/>
      </w:pPr>
    </w:p>
    <w:tbl>
      <w:tblPr>
        <w:tblW w:w="0" w:type="auto"/>
        <w:tblLook w:val="04A0" w:firstRow="1" w:lastRow="0" w:firstColumn="1" w:lastColumn="0" w:noHBand="0" w:noVBand="1"/>
      </w:tblPr>
      <w:tblGrid>
        <w:gridCol w:w="2097"/>
        <w:gridCol w:w="1169"/>
        <w:gridCol w:w="1255"/>
        <w:gridCol w:w="1510"/>
        <w:gridCol w:w="1293"/>
        <w:gridCol w:w="1702"/>
      </w:tblGrid>
      <w:tr w:rsidR="00E27B04" w:rsidRPr="00C82C15" w:rsidTr="008A6938">
        <w:trPr>
          <w:trHeight w:val="20"/>
        </w:trPr>
        <w:tc>
          <w:tcPr>
            <w:tcW w:w="0" w:type="auto"/>
            <w:tcBorders>
              <w:top w:val="nil"/>
              <w:left w:val="nil"/>
              <w:bottom w:val="single" w:sz="4" w:space="0" w:color="auto"/>
              <w:right w:val="nil"/>
            </w:tcBorders>
            <w:vAlign w:val="center"/>
            <w:hideMark/>
          </w:tcPr>
          <w:p w:rsidR="00E27B04" w:rsidRPr="00C82C15" w:rsidRDefault="00E27B04" w:rsidP="008A6938">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Company Name</w:t>
            </w:r>
          </w:p>
        </w:tc>
        <w:tc>
          <w:tcPr>
            <w:tcW w:w="0" w:type="auto"/>
            <w:tcBorders>
              <w:top w:val="nil"/>
              <w:left w:val="nil"/>
              <w:bottom w:val="single" w:sz="4" w:space="0" w:color="auto"/>
              <w:right w:val="nil"/>
            </w:tcBorders>
            <w:vAlign w:val="center"/>
            <w:hideMark/>
          </w:tcPr>
          <w:p w:rsidR="00E27B04" w:rsidRPr="00C82C15" w:rsidRDefault="00E27B04" w:rsidP="008A6938">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Price / EPS</w:t>
            </w:r>
          </w:p>
        </w:tc>
        <w:tc>
          <w:tcPr>
            <w:tcW w:w="0" w:type="auto"/>
            <w:tcBorders>
              <w:top w:val="nil"/>
              <w:left w:val="nil"/>
              <w:bottom w:val="single" w:sz="4" w:space="0" w:color="auto"/>
              <w:right w:val="nil"/>
            </w:tcBorders>
            <w:vAlign w:val="center"/>
            <w:hideMark/>
          </w:tcPr>
          <w:p w:rsidR="00E27B04" w:rsidRPr="00C82C15" w:rsidRDefault="00E27B04" w:rsidP="008A6938">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 xml:space="preserve">Price / </w:t>
            </w:r>
            <w:r>
              <w:rPr>
                <w:rFonts w:ascii="Calibri" w:eastAsia="Times New Roman" w:hAnsi="Calibri" w:cs="Calibri"/>
                <w:b/>
                <w:bCs/>
                <w:color w:val="000000"/>
              </w:rPr>
              <w:t>FCFE</w:t>
            </w:r>
          </w:p>
        </w:tc>
        <w:tc>
          <w:tcPr>
            <w:tcW w:w="0" w:type="auto"/>
            <w:tcBorders>
              <w:top w:val="nil"/>
              <w:left w:val="nil"/>
              <w:bottom w:val="single" w:sz="4" w:space="0" w:color="auto"/>
              <w:right w:val="nil"/>
            </w:tcBorders>
            <w:vAlign w:val="center"/>
            <w:hideMark/>
          </w:tcPr>
          <w:p w:rsidR="00E27B04" w:rsidRPr="00C82C15" w:rsidRDefault="00E27B04" w:rsidP="008A6938">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Market</w:t>
            </w:r>
            <w:r w:rsidRPr="00C82C15">
              <w:rPr>
                <w:rFonts w:ascii="Calibri" w:eastAsia="Times New Roman" w:hAnsi="Calibri" w:cs="Calibri"/>
                <w:b/>
                <w:bCs/>
                <w:color w:val="000000"/>
              </w:rPr>
              <w:t xml:space="preserve"> / Book </w:t>
            </w:r>
          </w:p>
        </w:tc>
        <w:tc>
          <w:tcPr>
            <w:tcW w:w="0" w:type="auto"/>
            <w:tcBorders>
              <w:top w:val="nil"/>
              <w:left w:val="nil"/>
              <w:bottom w:val="single" w:sz="4" w:space="0" w:color="auto"/>
              <w:right w:val="nil"/>
            </w:tcBorders>
            <w:vAlign w:val="center"/>
            <w:hideMark/>
          </w:tcPr>
          <w:p w:rsidR="00E27B04" w:rsidRPr="00C82C15" w:rsidRDefault="00E27B04" w:rsidP="008A6938">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 xml:space="preserve">Price / </w:t>
            </w:r>
            <w:r>
              <w:rPr>
                <w:rFonts w:ascii="Calibri" w:eastAsia="Times New Roman" w:hAnsi="Calibri" w:cs="Calibri"/>
                <w:b/>
                <w:bCs/>
                <w:color w:val="000000"/>
              </w:rPr>
              <w:t>Sales</w:t>
            </w:r>
          </w:p>
        </w:tc>
        <w:tc>
          <w:tcPr>
            <w:tcW w:w="0" w:type="auto"/>
            <w:tcBorders>
              <w:top w:val="nil"/>
              <w:left w:val="nil"/>
              <w:bottom w:val="single" w:sz="4" w:space="0" w:color="auto"/>
              <w:right w:val="nil"/>
            </w:tcBorders>
            <w:vAlign w:val="center"/>
            <w:hideMark/>
          </w:tcPr>
          <w:p w:rsidR="00E27B04" w:rsidRPr="00C82C15" w:rsidRDefault="00E27B04" w:rsidP="008A6938">
            <w:pPr>
              <w:spacing w:after="0" w:line="240" w:lineRule="auto"/>
              <w:jc w:val="center"/>
              <w:rPr>
                <w:rFonts w:ascii="Calibri" w:eastAsia="Times New Roman" w:hAnsi="Calibri" w:cs="Calibri"/>
                <w:b/>
                <w:bCs/>
                <w:color w:val="000000"/>
              </w:rPr>
            </w:pPr>
            <w:r w:rsidRPr="00C82C15">
              <w:rPr>
                <w:rFonts w:ascii="Calibri" w:eastAsia="Times New Roman" w:hAnsi="Calibri" w:cs="Calibri"/>
                <w:b/>
                <w:bCs/>
                <w:color w:val="000000"/>
              </w:rPr>
              <w:t>Dividend Yield %</w:t>
            </w:r>
          </w:p>
        </w:tc>
      </w:tr>
      <w:tr w:rsidR="00E27B04" w:rsidRPr="00C82C15" w:rsidTr="00E27B04">
        <w:trPr>
          <w:trHeight w:val="20"/>
        </w:trPr>
        <w:tc>
          <w:tcPr>
            <w:tcW w:w="0" w:type="auto"/>
            <w:tcBorders>
              <w:top w:val="single" w:sz="4" w:space="0" w:color="auto"/>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Facebook Inc</w:t>
            </w:r>
          </w:p>
        </w:tc>
        <w:tc>
          <w:tcPr>
            <w:tcW w:w="0" w:type="auto"/>
            <w:tcBorders>
              <w:top w:val="single" w:sz="4" w:space="0" w:color="auto"/>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20.30</w:t>
            </w:r>
          </w:p>
        </w:tc>
        <w:tc>
          <w:tcPr>
            <w:tcW w:w="0" w:type="auto"/>
            <w:tcBorders>
              <w:top w:val="single" w:sz="4" w:space="0" w:color="auto"/>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15.88</w:t>
            </w:r>
          </w:p>
        </w:tc>
        <w:tc>
          <w:tcPr>
            <w:tcW w:w="0" w:type="auto"/>
            <w:tcBorders>
              <w:top w:val="single" w:sz="4" w:space="0" w:color="auto"/>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4.56</w:t>
            </w:r>
          </w:p>
        </w:tc>
        <w:tc>
          <w:tcPr>
            <w:tcW w:w="0" w:type="auto"/>
            <w:tcBorders>
              <w:top w:val="single" w:sz="4" w:space="0" w:color="auto"/>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7.64</w:t>
            </w:r>
          </w:p>
        </w:tc>
        <w:tc>
          <w:tcPr>
            <w:tcW w:w="0" w:type="auto"/>
            <w:tcBorders>
              <w:top w:val="single" w:sz="4" w:space="0" w:color="auto"/>
              <w:left w:val="nil"/>
              <w:bottom w:val="nil"/>
              <w:right w:val="nil"/>
            </w:tcBorders>
            <w:noWrap/>
            <w:vAlign w:val="center"/>
          </w:tcPr>
          <w:p w:rsidR="00E27B04"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r w:rsidR="00E27B04" w:rsidRPr="00C82C15" w:rsidTr="00E27B04">
        <w:trPr>
          <w:trHeight w:val="20"/>
        </w:trPr>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Twitter Inc</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41.15</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22.99</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3.83</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7.75</w:t>
            </w:r>
          </w:p>
        </w:tc>
        <w:tc>
          <w:tcPr>
            <w:tcW w:w="0" w:type="auto"/>
            <w:tcBorders>
              <w:top w:val="nil"/>
              <w:left w:val="nil"/>
              <w:bottom w:val="nil"/>
              <w:right w:val="nil"/>
            </w:tcBorders>
            <w:noWrap/>
            <w:vAlign w:val="center"/>
          </w:tcPr>
          <w:p w:rsidR="00E27B04"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r w:rsidR="00DC3BA3" w:rsidRPr="00C82C15" w:rsidTr="00E27B04">
        <w:trPr>
          <w:trHeight w:val="20"/>
        </w:trPr>
        <w:tc>
          <w:tcPr>
            <w:tcW w:w="0" w:type="auto"/>
            <w:tcBorders>
              <w:top w:val="nil"/>
              <w:left w:val="nil"/>
              <w:bottom w:val="nil"/>
              <w:right w:val="nil"/>
            </w:tcBorders>
            <w:noWrap/>
            <w:vAlign w:val="center"/>
          </w:tcPr>
          <w:p w:rsidR="00DC3BA3"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Snap Inc</w:t>
            </w:r>
          </w:p>
        </w:tc>
        <w:tc>
          <w:tcPr>
            <w:tcW w:w="0" w:type="auto"/>
            <w:tcBorders>
              <w:top w:val="nil"/>
              <w:left w:val="nil"/>
              <w:bottom w:val="nil"/>
              <w:right w:val="nil"/>
            </w:tcBorders>
            <w:noWrap/>
            <w:vAlign w:val="center"/>
          </w:tcPr>
          <w:p w:rsidR="00DC3BA3"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c>
          <w:tcPr>
            <w:tcW w:w="0" w:type="auto"/>
            <w:tcBorders>
              <w:top w:val="nil"/>
              <w:left w:val="nil"/>
              <w:bottom w:val="nil"/>
              <w:right w:val="nil"/>
            </w:tcBorders>
            <w:noWrap/>
            <w:vAlign w:val="center"/>
          </w:tcPr>
          <w:p w:rsidR="00DC3BA3"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c>
          <w:tcPr>
            <w:tcW w:w="0" w:type="auto"/>
            <w:tcBorders>
              <w:top w:val="nil"/>
              <w:left w:val="nil"/>
              <w:bottom w:val="nil"/>
              <w:right w:val="nil"/>
            </w:tcBorders>
            <w:noWrap/>
            <w:vAlign w:val="center"/>
          </w:tcPr>
          <w:p w:rsidR="00DC3BA3"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9.45</w:t>
            </w:r>
          </w:p>
        </w:tc>
        <w:tc>
          <w:tcPr>
            <w:tcW w:w="0" w:type="auto"/>
            <w:tcBorders>
              <w:top w:val="nil"/>
              <w:left w:val="nil"/>
              <w:bottom w:val="nil"/>
              <w:right w:val="nil"/>
            </w:tcBorders>
            <w:noWrap/>
            <w:vAlign w:val="center"/>
          </w:tcPr>
          <w:p w:rsidR="00DC3BA3"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14.67</w:t>
            </w:r>
          </w:p>
        </w:tc>
        <w:tc>
          <w:tcPr>
            <w:tcW w:w="0" w:type="auto"/>
            <w:tcBorders>
              <w:top w:val="nil"/>
              <w:left w:val="nil"/>
              <w:bottom w:val="nil"/>
              <w:right w:val="nil"/>
            </w:tcBorders>
            <w:noWrap/>
            <w:vAlign w:val="center"/>
          </w:tcPr>
          <w:p w:rsidR="00DC3BA3"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r w:rsidR="00E27B04" w:rsidRPr="00C82C15" w:rsidTr="008A6938">
        <w:trPr>
          <w:trHeight w:val="20"/>
        </w:trPr>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Microsoft Corp</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23.33</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15.28</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6.78</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6.10</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1.9%</w:t>
            </w:r>
          </w:p>
        </w:tc>
      </w:tr>
      <w:tr w:rsidR="00E27B04" w:rsidRPr="00C82C15" w:rsidTr="008A6938">
        <w:trPr>
          <w:trHeight w:val="20"/>
        </w:trPr>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Tencent Holdings Ltd</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34.57</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22.91</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8.57</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8.35</w:t>
            </w:r>
          </w:p>
        </w:tc>
        <w:tc>
          <w:tcPr>
            <w:tcW w:w="0" w:type="auto"/>
            <w:tcBorders>
              <w:top w:val="nil"/>
              <w:left w:val="nil"/>
              <w:bottom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0.3%</w:t>
            </w:r>
          </w:p>
        </w:tc>
      </w:tr>
      <w:tr w:rsidR="00E27B04" w:rsidRPr="00C82C15" w:rsidTr="008A6938">
        <w:trPr>
          <w:trHeight w:val="20"/>
        </w:trPr>
        <w:tc>
          <w:tcPr>
            <w:tcW w:w="0" w:type="auto"/>
            <w:tcBorders>
              <w:top w:val="nil"/>
              <w:left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Alphabet Inc</w:t>
            </w:r>
          </w:p>
        </w:tc>
        <w:tc>
          <w:tcPr>
            <w:tcW w:w="0" w:type="auto"/>
            <w:tcBorders>
              <w:top w:val="nil"/>
              <w:left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23.67</w:t>
            </w:r>
          </w:p>
        </w:tc>
        <w:tc>
          <w:tcPr>
            <w:tcW w:w="0" w:type="auto"/>
            <w:tcBorders>
              <w:top w:val="nil"/>
              <w:left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16.75</w:t>
            </w:r>
          </w:p>
        </w:tc>
        <w:tc>
          <w:tcPr>
            <w:tcW w:w="0" w:type="auto"/>
            <w:tcBorders>
              <w:top w:val="nil"/>
              <w:left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4.01</w:t>
            </w:r>
          </w:p>
        </w:tc>
        <w:tc>
          <w:tcPr>
            <w:tcW w:w="0" w:type="auto"/>
            <w:tcBorders>
              <w:top w:val="nil"/>
              <w:left w:val="nil"/>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5.09</w:t>
            </w:r>
          </w:p>
        </w:tc>
        <w:tc>
          <w:tcPr>
            <w:tcW w:w="0" w:type="auto"/>
            <w:tcBorders>
              <w:top w:val="nil"/>
              <w:left w:val="nil"/>
              <w:right w:val="nil"/>
            </w:tcBorders>
            <w:noWrap/>
            <w:vAlign w:val="center"/>
            <w:hideMark/>
          </w:tcPr>
          <w:p w:rsidR="00E27B04"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r w:rsidR="00E27B04" w:rsidRPr="00C82C15" w:rsidTr="008A6938">
        <w:trPr>
          <w:trHeight w:val="20"/>
        </w:trPr>
        <w:tc>
          <w:tcPr>
            <w:tcW w:w="0" w:type="auto"/>
            <w:tcBorders>
              <w:top w:val="nil"/>
              <w:left w:val="nil"/>
              <w:bottom w:val="single" w:sz="4" w:space="0" w:color="auto"/>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Amazon.com Inc</w:t>
            </w:r>
          </w:p>
        </w:tc>
        <w:tc>
          <w:tcPr>
            <w:tcW w:w="0" w:type="auto"/>
            <w:tcBorders>
              <w:top w:val="nil"/>
              <w:left w:val="nil"/>
              <w:bottom w:val="single" w:sz="4" w:space="0" w:color="auto"/>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135.00</w:t>
            </w:r>
          </w:p>
        </w:tc>
        <w:tc>
          <w:tcPr>
            <w:tcW w:w="0" w:type="auto"/>
            <w:tcBorders>
              <w:top w:val="nil"/>
              <w:left w:val="nil"/>
              <w:bottom w:val="single" w:sz="4" w:space="0" w:color="auto"/>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23.96</w:t>
            </w:r>
          </w:p>
        </w:tc>
        <w:tc>
          <w:tcPr>
            <w:tcW w:w="0" w:type="auto"/>
            <w:tcBorders>
              <w:top w:val="nil"/>
              <w:left w:val="nil"/>
              <w:bottom w:val="single" w:sz="4" w:space="0" w:color="auto"/>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17.19</w:t>
            </w:r>
          </w:p>
        </w:tc>
        <w:tc>
          <w:tcPr>
            <w:tcW w:w="0" w:type="auto"/>
            <w:tcBorders>
              <w:top w:val="nil"/>
              <w:left w:val="nil"/>
              <w:bottom w:val="single" w:sz="4" w:space="0" w:color="auto"/>
              <w:right w:val="nil"/>
            </w:tcBorders>
            <w:noWrap/>
            <w:vAlign w:val="center"/>
            <w:hideMark/>
          </w:tcPr>
          <w:p w:rsidR="00E27B04" w:rsidRPr="00C82C15" w:rsidRDefault="00E27B04" w:rsidP="008A6938">
            <w:pPr>
              <w:spacing w:after="0" w:line="240" w:lineRule="auto"/>
              <w:jc w:val="center"/>
              <w:rPr>
                <w:rFonts w:ascii="Calibri" w:eastAsia="Times New Roman" w:hAnsi="Calibri" w:cs="Calibri"/>
                <w:color w:val="000000"/>
              </w:rPr>
            </w:pPr>
            <w:r w:rsidRPr="00C82C15">
              <w:rPr>
                <w:rFonts w:ascii="Calibri" w:eastAsia="Times New Roman" w:hAnsi="Calibri" w:cs="Calibri"/>
                <w:color w:val="000000"/>
              </w:rPr>
              <w:t>2.80</w:t>
            </w:r>
          </w:p>
        </w:tc>
        <w:tc>
          <w:tcPr>
            <w:tcW w:w="0" w:type="auto"/>
            <w:tcBorders>
              <w:top w:val="nil"/>
              <w:left w:val="nil"/>
              <w:bottom w:val="single" w:sz="4" w:space="0" w:color="auto"/>
              <w:right w:val="nil"/>
            </w:tcBorders>
            <w:noWrap/>
            <w:vAlign w:val="center"/>
            <w:hideMark/>
          </w:tcPr>
          <w:p w:rsidR="00E27B04" w:rsidRPr="00C82C15" w:rsidRDefault="00DC3BA3" w:rsidP="008A6938">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bl>
    <w:p w:rsidR="0036672B" w:rsidRDefault="0036672B" w:rsidP="00E23DD3">
      <w:pPr>
        <w:jc w:val="both"/>
      </w:pPr>
    </w:p>
    <w:p w:rsidR="00E27B04" w:rsidRDefault="00E27B04" w:rsidP="00E23DD3">
      <w:pPr>
        <w:jc w:val="both"/>
      </w:pPr>
      <w:r>
        <w:t>Therefore, We will pursue a DCF valuation, accompanied by a market wide multiples valuation.</w:t>
      </w:r>
    </w:p>
    <w:p w:rsidR="00E27B04" w:rsidRPr="0041503F" w:rsidRDefault="00E27B04" w:rsidP="00E23DD3">
      <w:pPr>
        <w:jc w:val="both"/>
        <w:rPr>
          <w:b/>
          <w:i/>
        </w:rPr>
      </w:pPr>
      <w:r w:rsidRPr="0041503F">
        <w:rPr>
          <w:b/>
          <w:i/>
        </w:rPr>
        <w:t>DCF</w:t>
      </w:r>
    </w:p>
    <w:p w:rsidR="0036672B" w:rsidRDefault="00E27B04" w:rsidP="00E23DD3">
      <w:pPr>
        <w:jc w:val="both"/>
        <w:rPr>
          <w:rFonts w:eastAsiaTheme="minorEastAsia"/>
        </w:rPr>
      </w:pPr>
      <w:r>
        <w:t>The cost of equity is:</w:t>
      </w:r>
      <w:r w:rsidR="0036672B">
        <w:t xml:space="preserve"> </w:t>
      </w:r>
    </w:p>
    <w:p w:rsidR="00E27B04" w:rsidRDefault="00000000" w:rsidP="00E23DD3">
      <w:pPr>
        <w:jc w:val="both"/>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lang w:val="el-GR"/>
                </w:rPr>
                <m:t>β</m:t>
              </m:r>
            </m:e>
            <m:sub>
              <m:r>
                <w:rPr>
                  <w:rFonts w:ascii="Cambria Math" w:hAnsi="Cambria Math"/>
                </w:rPr>
                <m:t>l, FB</m:t>
              </m:r>
            </m:sub>
          </m:sSub>
          <m:r>
            <w:rPr>
              <w:rFonts w:ascii="Cambria Math" w:hAnsi="Cambria Math"/>
            </w:rPr>
            <m:t xml:space="preserve"> x MRP</m:t>
          </m:r>
          <m:r>
            <w:rPr>
              <w:rFonts w:ascii="Cambria Math" w:eastAsiaTheme="minorEastAsia" w:hAnsi="Cambria Math"/>
            </w:rPr>
            <m:t>=3+0.45 x 5.08=6.93%</m:t>
          </m:r>
        </m:oMath>
      </m:oMathPara>
    </w:p>
    <w:p w:rsidR="00637FDB" w:rsidRDefault="00637FDB" w:rsidP="00E23DD3">
      <w:pPr>
        <w:jc w:val="both"/>
      </w:pPr>
      <w:r>
        <w:t>According to market analysts, NI is expected to grow very fast over the next five years</w:t>
      </w:r>
    </w:p>
    <w:p w:rsidR="00637FDB" w:rsidRDefault="00637FDB" w:rsidP="0036672B">
      <w:pPr>
        <w:jc w:val="center"/>
      </w:pPr>
      <w:r>
        <w:rPr>
          <w:noProof/>
          <w:lang w:eastAsia="en-GB"/>
        </w:rPr>
        <w:drawing>
          <wp:inline distT="0" distB="0" distL="0" distR="0" wp14:anchorId="2BF6CFA6" wp14:editId="3688DDDC">
            <wp:extent cx="2691123" cy="1647825"/>
            <wp:effectExtent l="0" t="0" r="0" b="0"/>
            <wp:docPr id="1" name="Picture 1" descr="https://www.nasdaq.com//charts/TWTR_eg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nasdaq.com//charts/TWTR_egr.jpeg"/>
                    <pic:cNvPicPr>
                      <a:picLocks noChangeAspect="1" noChangeArrowheads="1"/>
                    </pic:cNvPicPr>
                  </pic:nvPicPr>
                  <pic:blipFill rotWithShape="1">
                    <a:blip r:embed="rId50">
                      <a:extLst>
                        <a:ext uri="{28A0092B-C50C-407E-A947-70E740481C1C}">
                          <a14:useLocalDpi xmlns:a14="http://schemas.microsoft.com/office/drawing/2010/main" val="0"/>
                        </a:ext>
                      </a:extLst>
                    </a:blip>
                    <a:srcRect t="2174" b="5978"/>
                    <a:stretch/>
                  </pic:blipFill>
                  <pic:spPr bwMode="auto">
                    <a:xfrm>
                      <a:off x="0" y="0"/>
                      <a:ext cx="2711899" cy="1660546"/>
                    </a:xfrm>
                    <a:prstGeom prst="rect">
                      <a:avLst/>
                    </a:prstGeom>
                    <a:noFill/>
                    <a:ln>
                      <a:noFill/>
                    </a:ln>
                    <a:extLst>
                      <a:ext uri="{53640926-AAD7-44D8-BBD7-CCE9431645EC}">
                        <a14:shadowObscured xmlns:a14="http://schemas.microsoft.com/office/drawing/2010/main"/>
                      </a:ext>
                    </a:extLst>
                  </pic:spPr>
                </pic:pic>
              </a:graphicData>
            </a:graphic>
          </wp:inline>
        </w:drawing>
      </w:r>
    </w:p>
    <w:p w:rsidR="00E27B04" w:rsidRDefault="00DC3BA3" w:rsidP="00E23DD3">
      <w:pPr>
        <w:jc w:val="both"/>
      </w:pPr>
      <w:r>
        <w:t>The</w:t>
      </w:r>
      <w:r w:rsidR="0036672B">
        <w:t xml:space="preserve">n it is expected to be 10% in year six and then it is expected to stabilize at 3%. </w:t>
      </w:r>
      <w:r>
        <w:t xml:space="preserve">The Equity Re-Investment Rate for achieving a long term growth of </w:t>
      </w:r>
      <w:r w:rsidR="0036672B">
        <w:t>5</w:t>
      </w:r>
      <w:r>
        <w:t xml:space="preserve">% is: </w:t>
      </w:r>
    </w:p>
    <w:p w:rsidR="00DC3BA3" w:rsidRDefault="00DC3BA3" w:rsidP="00E23DD3">
      <w:pPr>
        <w:jc w:val="both"/>
      </w:pPr>
      <m:oMathPara>
        <m:oMath>
          <m:r>
            <w:rPr>
              <w:rFonts w:ascii="Cambria Math" w:hAnsi="Cambria Math"/>
            </w:rPr>
            <m:t>ERR=</m:t>
          </m:r>
          <m:f>
            <m:fPr>
              <m:ctrlPr>
                <w:rPr>
                  <w:rFonts w:ascii="Cambria Math" w:hAnsi="Cambria Math"/>
                  <w:i/>
                </w:rPr>
              </m:ctrlPr>
            </m:fPr>
            <m:num>
              <m:r>
                <w:rPr>
                  <w:rFonts w:ascii="Cambria Math" w:hAnsi="Cambria Math"/>
                </w:rPr>
                <m:t>g</m:t>
              </m:r>
            </m:num>
            <m:den>
              <m:r>
                <w:rPr>
                  <w:rFonts w:ascii="Cambria Math" w:hAnsi="Cambria Math"/>
                </w:rPr>
                <m:t>ROE</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0.03</m:t>
              </m:r>
            </m:num>
            <m:den>
              <m:r>
                <w:rPr>
                  <w:rFonts w:ascii="Cambria Math" w:eastAsiaTheme="minorEastAsia" w:hAnsi="Cambria Math"/>
                </w:rPr>
                <m:t>0.0485</m:t>
              </m:r>
            </m:den>
          </m:f>
          <m:r>
            <w:rPr>
              <w:rFonts w:ascii="Cambria Math" w:eastAsiaTheme="minorEastAsia" w:hAnsi="Cambria Math"/>
            </w:rPr>
            <m:t>≈63%</m:t>
          </m:r>
        </m:oMath>
      </m:oMathPara>
    </w:p>
    <w:p w:rsidR="0036672B" w:rsidRDefault="0036672B" w:rsidP="00E23DD3">
      <w:pPr>
        <w:jc w:val="both"/>
      </w:pPr>
      <w:r>
        <w:t>The valuation then is:</w:t>
      </w:r>
    </w:p>
    <w:tbl>
      <w:tblPr>
        <w:tblW w:w="0" w:type="auto"/>
        <w:jc w:val="center"/>
        <w:tblLook w:val="04A0" w:firstRow="1" w:lastRow="0" w:firstColumn="1" w:lastColumn="0" w:noHBand="0" w:noVBand="1"/>
      </w:tblPr>
      <w:tblGrid>
        <w:gridCol w:w="1396"/>
        <w:gridCol w:w="1139"/>
        <w:gridCol w:w="801"/>
        <w:gridCol w:w="891"/>
        <w:gridCol w:w="891"/>
        <w:gridCol w:w="891"/>
        <w:gridCol w:w="891"/>
        <w:gridCol w:w="891"/>
        <w:gridCol w:w="891"/>
      </w:tblGrid>
      <w:tr w:rsidR="00B1089D" w:rsidRPr="00B1089D" w:rsidTr="00B1089D">
        <w:trPr>
          <w:trHeight w:val="20"/>
          <w:jc w:val="center"/>
        </w:trPr>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 </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0</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3</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4</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5</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7</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ke</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6.93%</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growth</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190%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70%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22%</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50%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22%</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3%</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Sales</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Calibri" w:eastAsia="Times New Roman" w:hAnsi="Calibri" w:cs="Calibri"/>
                <w:color w:val="000000"/>
                <w:sz w:val="18"/>
                <w:lang w:eastAsia="en-GB"/>
              </w:rPr>
            </w:pPr>
            <w:r w:rsidRPr="00B1089D">
              <w:rPr>
                <w:rFonts w:ascii="Calibri" w:eastAsia="Times New Roman" w:hAnsi="Calibri" w:cs="Calibri"/>
                <w:color w:val="000000"/>
                <w:sz w:val="18"/>
                <w:lang w:eastAsia="en-GB"/>
              </w:rPr>
              <w:t xml:space="preserve">       2,110.00 </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6119.00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10402.30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12690.81</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19036.21</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23224.17</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25546.59</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26312.99</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NI</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right"/>
              <w:rPr>
                <w:rFonts w:ascii="Calibri" w:eastAsia="Times New Roman" w:hAnsi="Calibri" w:cs="Calibri"/>
                <w:color w:val="000000"/>
                <w:sz w:val="18"/>
                <w:lang w:eastAsia="en-GB"/>
              </w:rPr>
            </w:pPr>
            <w:r w:rsidRPr="00B1089D">
              <w:rPr>
                <w:rFonts w:ascii="Calibri" w:eastAsia="Times New Roman" w:hAnsi="Calibri" w:cs="Calibri"/>
                <w:color w:val="000000"/>
                <w:sz w:val="18"/>
                <w:lang w:eastAsia="en-GB"/>
              </w:rPr>
              <w:t>244.8</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709.92</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1206.86</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1472.37</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2208.56</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2694.44</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2963.89</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3052.81</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NetCapEx/Sales</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8.35%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8.35%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8.35%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8.35%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8.35%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8.35%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NWC/Sales</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9.95%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9.95%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9.95%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9.95%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9.95%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9.95%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ROE</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4.85%</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ERR</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61.86%</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δ</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25.00%</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NetCapEx</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510.94</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868.59</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1059.68</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1589.52</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1939.22</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2133.14</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ΔΝWC</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398.90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426.19</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227.71</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631.37</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416.70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231.08</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FCFE</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27.55</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235.78</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506.83</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542.89</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927.50</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1190.72</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1164.47</w:t>
            </w:r>
          </w:p>
        </w:tc>
      </w:tr>
      <w:tr w:rsidR="00B1089D" w:rsidRPr="00B1089D" w:rsidTr="00B1089D">
        <w:trPr>
          <w:trHeight w:val="20"/>
          <w:jc w:val="center"/>
        </w:trPr>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DF</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 </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25.76</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206.21</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414.54</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415.26</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663.46</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796.55</w:t>
            </w:r>
          </w:p>
        </w:tc>
        <w:tc>
          <w:tcPr>
            <w:tcW w:w="0" w:type="auto"/>
            <w:tcBorders>
              <w:top w:val="nil"/>
              <w:left w:val="nil"/>
              <w:bottom w:val="single" w:sz="8" w:space="0" w:color="auto"/>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19821.62</w:t>
            </w: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MVE</w:t>
            </w:r>
          </w:p>
        </w:tc>
        <w:tc>
          <w:tcPr>
            <w:tcW w:w="0" w:type="auto"/>
            <w:tcBorders>
              <w:top w:val="nil"/>
              <w:left w:val="nil"/>
              <w:bottom w:val="nil"/>
              <w:right w:val="nil"/>
            </w:tcBorders>
            <w:noWrap/>
            <w:vAlign w:val="center"/>
            <w:hideMark/>
          </w:tcPr>
          <w:p w:rsidR="00B1089D" w:rsidRPr="00B1089D" w:rsidRDefault="00B1089D" w:rsidP="00B1089D">
            <w:pPr>
              <w:spacing w:after="0" w:line="240" w:lineRule="auto"/>
              <w:rPr>
                <w:rFonts w:ascii="Calibri" w:eastAsia="Times New Roman" w:hAnsi="Calibri" w:cs="Calibri"/>
                <w:color w:val="000000"/>
                <w:sz w:val="18"/>
                <w:szCs w:val="24"/>
                <w:lang w:eastAsia="en-GB"/>
              </w:rPr>
            </w:pPr>
            <w:r w:rsidRPr="00B1089D">
              <w:rPr>
                <w:rFonts w:ascii="Calibri" w:eastAsia="Times New Roman" w:hAnsi="Calibri" w:cs="Calibri"/>
                <w:color w:val="000000"/>
                <w:sz w:val="18"/>
                <w:szCs w:val="24"/>
                <w:lang w:eastAsia="en-GB"/>
              </w:rPr>
              <w:t xml:space="preserve"> $22,343.40 </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Calibri" w:eastAsia="Times New Roman" w:hAnsi="Calibri" w:cs="Calibri"/>
                <w:color w:val="000000"/>
                <w:sz w:val="18"/>
                <w:szCs w:val="24"/>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center"/>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sz w:val="18"/>
                <w:szCs w:val="20"/>
                <w:lang w:eastAsia="en-GB"/>
              </w:rPr>
            </w:pPr>
          </w:p>
        </w:tc>
      </w:tr>
      <w:tr w:rsidR="00B1089D" w:rsidRPr="00B1089D" w:rsidTr="00B1089D">
        <w:trPr>
          <w:trHeight w:val="20"/>
          <w:jc w:val="center"/>
        </w:trPr>
        <w:tc>
          <w:tcPr>
            <w:tcW w:w="0" w:type="auto"/>
            <w:tcBorders>
              <w:top w:val="nil"/>
              <w:left w:val="nil"/>
              <w:bottom w:val="nil"/>
              <w:right w:val="nil"/>
            </w:tcBorders>
            <w:noWrap/>
            <w:vAlign w:val="center"/>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r w:rsidRPr="00B1089D">
              <w:rPr>
                <w:rFonts w:ascii="Times New Roman" w:eastAsia="Times New Roman" w:hAnsi="Times New Roman" w:cs="Times New Roman"/>
                <w:color w:val="000000"/>
                <w:sz w:val="18"/>
                <w:szCs w:val="24"/>
                <w:lang w:eastAsia="en-GB"/>
              </w:rPr>
              <w:t>Per share</w:t>
            </w:r>
          </w:p>
        </w:tc>
        <w:tc>
          <w:tcPr>
            <w:tcW w:w="0" w:type="auto"/>
            <w:tcBorders>
              <w:top w:val="nil"/>
              <w:left w:val="nil"/>
              <w:bottom w:val="nil"/>
              <w:right w:val="nil"/>
            </w:tcBorders>
            <w:noWrap/>
            <w:vAlign w:val="center"/>
            <w:hideMark/>
          </w:tcPr>
          <w:p w:rsidR="00B1089D" w:rsidRPr="00B1089D" w:rsidRDefault="00C96107" w:rsidP="00C96107">
            <w:pPr>
              <w:spacing w:after="0" w:line="240" w:lineRule="auto"/>
              <w:jc w:val="center"/>
              <w:rPr>
                <w:rFonts w:ascii="Times New Roman" w:eastAsia="Times New Roman" w:hAnsi="Times New Roman" w:cs="Times New Roman"/>
                <w:color w:val="000000"/>
                <w:sz w:val="18"/>
                <w:szCs w:val="24"/>
                <w:lang w:eastAsia="en-GB"/>
              </w:rPr>
            </w:pPr>
            <w:r>
              <w:rPr>
                <w:rFonts w:ascii="Times New Roman" w:eastAsia="Times New Roman" w:hAnsi="Times New Roman" w:cs="Times New Roman"/>
                <w:color w:val="000000"/>
                <w:sz w:val="18"/>
                <w:szCs w:val="24"/>
                <w:lang w:eastAsia="en-GB"/>
              </w:rPr>
              <w:t xml:space="preserve"> $</w:t>
            </w:r>
            <w:r w:rsidR="00B1089D" w:rsidRPr="00B1089D">
              <w:rPr>
                <w:rFonts w:ascii="Times New Roman" w:eastAsia="Times New Roman" w:hAnsi="Times New Roman" w:cs="Times New Roman"/>
                <w:color w:val="000000"/>
                <w:sz w:val="18"/>
                <w:szCs w:val="24"/>
                <w:lang w:eastAsia="en-GB"/>
              </w:rPr>
              <w:t xml:space="preserve">29.76 </w:t>
            </w:r>
          </w:p>
        </w:tc>
        <w:tc>
          <w:tcPr>
            <w:tcW w:w="0" w:type="auto"/>
            <w:tcBorders>
              <w:top w:val="nil"/>
              <w:left w:val="nil"/>
              <w:bottom w:val="nil"/>
              <w:right w:val="nil"/>
            </w:tcBorders>
            <w:noWrap/>
            <w:vAlign w:val="bottom"/>
            <w:hideMark/>
          </w:tcPr>
          <w:p w:rsidR="00B1089D" w:rsidRPr="00B1089D" w:rsidRDefault="00B1089D" w:rsidP="00B1089D">
            <w:pPr>
              <w:spacing w:after="0" w:line="240" w:lineRule="auto"/>
              <w:jc w:val="center"/>
              <w:rPr>
                <w:rFonts w:ascii="Times New Roman" w:eastAsia="Times New Roman" w:hAnsi="Times New Roman" w:cs="Times New Roman"/>
                <w:color w:val="000000"/>
                <w:sz w:val="18"/>
                <w:szCs w:val="24"/>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c>
          <w:tcPr>
            <w:tcW w:w="0" w:type="auto"/>
            <w:tcBorders>
              <w:top w:val="nil"/>
              <w:left w:val="nil"/>
              <w:bottom w:val="nil"/>
              <w:right w:val="nil"/>
            </w:tcBorders>
            <w:noWrap/>
            <w:vAlign w:val="bottom"/>
            <w:hideMark/>
          </w:tcPr>
          <w:p w:rsidR="00B1089D" w:rsidRPr="00B1089D" w:rsidRDefault="00B1089D" w:rsidP="00B1089D">
            <w:pPr>
              <w:spacing w:after="0" w:line="240" w:lineRule="auto"/>
              <w:rPr>
                <w:rFonts w:ascii="Times New Roman" w:eastAsia="Times New Roman" w:hAnsi="Times New Roman" w:cs="Times New Roman"/>
                <w:sz w:val="18"/>
                <w:szCs w:val="20"/>
                <w:lang w:eastAsia="en-GB"/>
              </w:rPr>
            </w:pPr>
          </w:p>
        </w:tc>
      </w:tr>
    </w:tbl>
    <w:p w:rsidR="0036672B" w:rsidRDefault="0036672B" w:rsidP="00E23DD3">
      <w:pPr>
        <w:jc w:val="both"/>
      </w:pPr>
    </w:p>
    <w:p w:rsidR="0041503F" w:rsidRPr="0041503F" w:rsidRDefault="0041503F" w:rsidP="00E23DD3">
      <w:pPr>
        <w:jc w:val="both"/>
        <w:rPr>
          <w:b/>
          <w:i/>
        </w:rPr>
      </w:pPr>
      <w:r w:rsidRPr="0041503F">
        <w:rPr>
          <w:b/>
          <w:i/>
        </w:rPr>
        <w:t>Multiple Valuation:</w:t>
      </w:r>
    </w:p>
    <w:p w:rsidR="0041503F" w:rsidRDefault="0041503F" w:rsidP="0041503F">
      <w:pPr>
        <w:jc w:val="both"/>
        <w:rPr>
          <w:rFonts w:eastAsiaTheme="minorEastAsia"/>
        </w:rPr>
      </w:pPr>
      <w:r>
        <w:rPr>
          <w:rFonts w:eastAsiaTheme="minorEastAsia"/>
        </w:rPr>
        <w:t>The size and the composition of the peer group would yield a rather biased (multiples) valuation and therefore, we will still use the P/E and P/Sales multiples, but we will compare Twitter to the market as a whole, based on the fundamentals that drive the two multiples: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78"/>
      </w:tblGrid>
      <w:tr w:rsidR="0041503F" w:rsidRPr="00286CD1" w:rsidTr="008A6938">
        <w:trPr>
          <w:jc w:val="center"/>
        </w:trPr>
        <w:tc>
          <w:tcPr>
            <w:tcW w:w="7578" w:type="dxa"/>
            <w:tcBorders>
              <w:top w:val="single" w:sz="4" w:space="0" w:color="auto"/>
              <w:left w:val="single" w:sz="4" w:space="0" w:color="auto"/>
              <w:bottom w:val="single" w:sz="4" w:space="0" w:color="auto"/>
              <w:right w:val="single" w:sz="4" w:space="0" w:color="auto"/>
            </w:tcBorders>
            <w:hideMark/>
          </w:tcPr>
          <w:p w:rsidR="0041503F" w:rsidRPr="00286CD1" w:rsidRDefault="0041503F" w:rsidP="008A6938">
            <w:pPr>
              <w:spacing w:after="0" w:line="240" w:lineRule="auto"/>
              <w:jc w:val="center"/>
              <w:rPr>
                <w:rFonts w:ascii="Times New Roman" w:eastAsia="Times New Roman" w:hAnsi="Times New Roman" w:cs="Times New Roman"/>
                <w:sz w:val="24"/>
                <w:szCs w:val="24"/>
              </w:rPr>
            </w:pPr>
            <w:r w:rsidRPr="00286CD1">
              <w:rPr>
                <w:rFonts w:ascii="Times New Roman" w:eastAsia="Times New Roman" w:hAnsi="Times New Roman" w:cs="Times New Roman"/>
                <w:i/>
                <w:sz w:val="24"/>
                <w:szCs w:val="24"/>
              </w:rPr>
              <w:t>Regression</w:t>
            </w:r>
          </w:p>
        </w:tc>
      </w:tr>
      <w:tr w:rsidR="0041503F" w:rsidRPr="00286CD1" w:rsidTr="008A6938">
        <w:trPr>
          <w:jc w:val="center"/>
        </w:trPr>
        <w:tc>
          <w:tcPr>
            <w:tcW w:w="7578" w:type="dxa"/>
            <w:tcBorders>
              <w:top w:val="single" w:sz="4" w:space="0" w:color="auto"/>
              <w:left w:val="single" w:sz="4" w:space="0" w:color="auto"/>
              <w:bottom w:val="single" w:sz="4" w:space="0" w:color="auto"/>
              <w:right w:val="single" w:sz="4" w:space="0" w:color="auto"/>
            </w:tcBorders>
            <w:hideMark/>
          </w:tcPr>
          <w:p w:rsidR="0041503F" w:rsidRPr="00286CD1" w:rsidRDefault="0041503F" w:rsidP="008A6938">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PE = 4.20 + 149.0 g</w:t>
            </w:r>
            <w:r w:rsidRPr="00286CD1">
              <w:rPr>
                <w:rFonts w:ascii="Times New Roman" w:eastAsia="Times New Roman" w:hAnsi="Times New Roman" w:cs="Times New Roman"/>
                <w:sz w:val="24"/>
                <w:szCs w:val="24"/>
                <w:vertAlign w:val="subscript"/>
              </w:rPr>
              <w:t>EPS</w:t>
            </w:r>
            <w:r w:rsidRPr="00286CD1">
              <w:rPr>
                <w:rFonts w:ascii="Times New Roman" w:eastAsia="Times New Roman" w:hAnsi="Times New Roman" w:cs="Times New Roman"/>
                <w:sz w:val="24"/>
                <w:szCs w:val="24"/>
              </w:rPr>
              <w:t xml:space="preserve"> + 13.40 Payout - 2.86 Beta </w:t>
            </w:r>
          </w:p>
          <w:p w:rsidR="0041503F" w:rsidRPr="00286CD1" w:rsidRDefault="0041503F" w:rsidP="008A6938">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(3.35)   (26.82)      (18.50)            (2.93) </w:t>
            </w:r>
          </w:p>
        </w:tc>
      </w:tr>
      <w:tr w:rsidR="0041503F" w:rsidRPr="00286CD1" w:rsidTr="008A6938">
        <w:trPr>
          <w:jc w:val="center"/>
        </w:trPr>
        <w:tc>
          <w:tcPr>
            <w:tcW w:w="7578" w:type="dxa"/>
            <w:tcBorders>
              <w:top w:val="single" w:sz="4" w:space="0" w:color="auto"/>
              <w:left w:val="single" w:sz="4" w:space="0" w:color="auto"/>
              <w:bottom w:val="single" w:sz="4" w:space="0" w:color="auto"/>
              <w:right w:val="single" w:sz="4" w:space="0" w:color="auto"/>
            </w:tcBorders>
            <w:hideMark/>
          </w:tcPr>
          <w:p w:rsidR="0041503F" w:rsidRPr="00286CD1" w:rsidRDefault="0041503F" w:rsidP="008A6938">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PS= 0.31+0.04 Payout + 9.17 g</w:t>
            </w:r>
            <w:r w:rsidRPr="00286CD1">
              <w:rPr>
                <w:rFonts w:ascii="Times New Roman" w:eastAsia="Times New Roman" w:hAnsi="Times New Roman" w:cs="Times New Roman"/>
                <w:sz w:val="24"/>
                <w:szCs w:val="24"/>
                <w:vertAlign w:val="subscript"/>
              </w:rPr>
              <w:t xml:space="preserve">EPS </w:t>
            </w:r>
            <w:r w:rsidRPr="00286CD1">
              <w:rPr>
                <w:rFonts w:ascii="Times New Roman" w:eastAsia="Times New Roman" w:hAnsi="Times New Roman" w:cs="Times New Roman"/>
                <w:sz w:val="24"/>
                <w:szCs w:val="24"/>
              </w:rPr>
              <w:t xml:space="preserve">- 0.47 Beta + 12.60 Net Margin </w:t>
            </w:r>
          </w:p>
          <w:p w:rsidR="0041503F" w:rsidRPr="00286CD1" w:rsidRDefault="0041503F" w:rsidP="008A6938">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(2.88)     (4.70)        (19.58)    (4.54)       (37.00)</w:t>
            </w:r>
          </w:p>
        </w:tc>
      </w:tr>
    </w:tbl>
    <w:p w:rsidR="0041503F" w:rsidRDefault="0041503F" w:rsidP="0041503F">
      <w:pPr>
        <w:jc w:val="both"/>
        <w:rPr>
          <w:rFonts w:eastAsiaTheme="minorEastAsia"/>
        </w:rPr>
      </w:pPr>
      <w:r>
        <w:rPr>
          <w:rFonts w:eastAsiaTheme="minorEastAsia"/>
        </w:rPr>
        <w:t>Consequently, for Twitter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318"/>
        <w:gridCol w:w="1030"/>
        <w:gridCol w:w="1070"/>
        <w:gridCol w:w="1483"/>
      </w:tblGrid>
      <w:tr w:rsidR="0041503F" w:rsidRPr="00286CD1" w:rsidTr="00C96107">
        <w:trPr>
          <w:jc w:val="center"/>
        </w:trPr>
        <w:tc>
          <w:tcPr>
            <w:tcW w:w="0" w:type="auto"/>
            <w:tcBorders>
              <w:top w:val="single" w:sz="4" w:space="0" w:color="auto"/>
              <w:left w:val="single" w:sz="4" w:space="0" w:color="auto"/>
              <w:bottom w:val="single" w:sz="4" w:space="0" w:color="auto"/>
              <w:right w:val="single" w:sz="4" w:space="0" w:color="auto"/>
            </w:tcBorders>
            <w:hideMark/>
          </w:tcPr>
          <w:p w:rsidR="0041503F" w:rsidRPr="00286CD1" w:rsidRDefault="0041503F" w:rsidP="008A6938">
            <w:pPr>
              <w:spacing w:after="0" w:line="240" w:lineRule="auto"/>
              <w:jc w:val="center"/>
              <w:rPr>
                <w:rFonts w:ascii="Times New Roman" w:eastAsia="Times New Roman" w:hAnsi="Times New Roman" w:cs="Times New Roman"/>
                <w:sz w:val="24"/>
                <w:szCs w:val="24"/>
              </w:rPr>
            </w:pPr>
            <w:r w:rsidRPr="00286CD1">
              <w:rPr>
                <w:rFonts w:ascii="Times New Roman" w:eastAsia="Times New Roman" w:hAnsi="Times New Roman" w:cs="Times New Roman"/>
                <w:i/>
                <w:sz w:val="24"/>
                <w:szCs w:val="24"/>
              </w:rPr>
              <w:t>Regression</w:t>
            </w:r>
          </w:p>
        </w:tc>
        <w:tc>
          <w:tcPr>
            <w:tcW w:w="0" w:type="auto"/>
            <w:tcBorders>
              <w:top w:val="single" w:sz="4" w:space="0" w:color="auto"/>
              <w:left w:val="single" w:sz="4" w:space="0" w:color="auto"/>
              <w:bottom w:val="single" w:sz="4" w:space="0" w:color="auto"/>
              <w:right w:val="single" w:sz="4" w:space="0" w:color="auto"/>
            </w:tcBorders>
            <w:vAlign w:val="center"/>
          </w:tcPr>
          <w:p w:rsidR="0041503F" w:rsidRPr="00286CD1" w:rsidRDefault="0041503F" w:rsidP="008A693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Multiple</w:t>
            </w:r>
          </w:p>
        </w:tc>
        <w:tc>
          <w:tcPr>
            <w:tcW w:w="0" w:type="auto"/>
            <w:tcBorders>
              <w:top w:val="single" w:sz="4" w:space="0" w:color="auto"/>
              <w:left w:val="single" w:sz="4" w:space="0" w:color="auto"/>
              <w:bottom w:val="single" w:sz="4" w:space="0" w:color="auto"/>
              <w:right w:val="single" w:sz="4" w:space="0" w:color="auto"/>
            </w:tcBorders>
            <w:vAlign w:val="center"/>
          </w:tcPr>
          <w:p w:rsidR="0041503F" w:rsidRDefault="0041503F" w:rsidP="008A693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Item</w:t>
            </w:r>
          </w:p>
        </w:tc>
        <w:tc>
          <w:tcPr>
            <w:tcW w:w="0" w:type="auto"/>
            <w:tcBorders>
              <w:top w:val="single" w:sz="4" w:space="0" w:color="auto"/>
              <w:left w:val="single" w:sz="4" w:space="0" w:color="auto"/>
              <w:bottom w:val="single" w:sz="4" w:space="0" w:color="auto"/>
              <w:right w:val="single" w:sz="4" w:space="0" w:color="auto"/>
            </w:tcBorders>
            <w:vAlign w:val="center"/>
          </w:tcPr>
          <w:p w:rsidR="0041503F" w:rsidRPr="00286CD1" w:rsidRDefault="0041503F" w:rsidP="008A693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Price</w:t>
            </w:r>
          </w:p>
        </w:tc>
      </w:tr>
      <w:tr w:rsidR="0041503F" w:rsidRPr="00286CD1" w:rsidTr="00C96107">
        <w:trPr>
          <w:jc w:val="center"/>
        </w:trPr>
        <w:tc>
          <w:tcPr>
            <w:tcW w:w="0" w:type="auto"/>
            <w:tcBorders>
              <w:top w:val="single" w:sz="4" w:space="0" w:color="auto"/>
              <w:left w:val="single" w:sz="4" w:space="0" w:color="auto"/>
              <w:bottom w:val="single" w:sz="4" w:space="0" w:color="auto"/>
              <w:right w:val="single" w:sz="4" w:space="0" w:color="auto"/>
            </w:tcBorders>
            <w:hideMark/>
          </w:tcPr>
          <w:p w:rsidR="0041503F" w:rsidRDefault="0041503F" w:rsidP="008A6938">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PE </w:t>
            </w:r>
          </w:p>
          <w:p w:rsidR="0041503F" w:rsidRPr="00286CD1" w:rsidRDefault="0041503F" w:rsidP="0041503F">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4.20 + 149.0 </w:t>
            </w:r>
            <w:r>
              <w:rPr>
                <w:rFonts w:ascii="Times New Roman" w:eastAsia="Times New Roman" w:hAnsi="Times New Roman" w:cs="Times New Roman"/>
                <w:sz w:val="24"/>
                <w:szCs w:val="24"/>
              </w:rPr>
              <w:t>x 0.5</w:t>
            </w:r>
            <w:r w:rsidRPr="00286CD1">
              <w:rPr>
                <w:rFonts w:ascii="Times New Roman" w:eastAsia="Times New Roman" w:hAnsi="Times New Roman" w:cs="Times New Roman"/>
                <w:sz w:val="24"/>
                <w:szCs w:val="24"/>
              </w:rPr>
              <w:t xml:space="preserve"> + 13.40 </w:t>
            </w:r>
            <w:r>
              <w:rPr>
                <w:rFonts w:ascii="Times New Roman" w:eastAsia="Times New Roman" w:hAnsi="Times New Roman" w:cs="Times New Roman"/>
                <w:sz w:val="24"/>
                <w:szCs w:val="24"/>
              </w:rPr>
              <w:t>x 0</w:t>
            </w:r>
            <w:r w:rsidRPr="00286CD1">
              <w:rPr>
                <w:rFonts w:ascii="Times New Roman" w:eastAsia="Times New Roman" w:hAnsi="Times New Roman" w:cs="Times New Roman"/>
                <w:sz w:val="24"/>
                <w:szCs w:val="24"/>
              </w:rPr>
              <w:t xml:space="preserve"> - 2.86 </w:t>
            </w:r>
            <w:r>
              <w:rPr>
                <w:rFonts w:ascii="Times New Roman" w:eastAsia="Times New Roman" w:hAnsi="Times New Roman" w:cs="Times New Roman"/>
                <w:sz w:val="24"/>
                <w:szCs w:val="24"/>
              </w:rPr>
              <w:t>x 0.45</w:t>
            </w:r>
          </w:p>
        </w:tc>
        <w:tc>
          <w:tcPr>
            <w:tcW w:w="0" w:type="auto"/>
            <w:tcBorders>
              <w:top w:val="single" w:sz="4" w:space="0" w:color="auto"/>
              <w:left w:val="single" w:sz="4" w:space="0" w:color="auto"/>
              <w:bottom w:val="single" w:sz="4" w:space="0" w:color="auto"/>
              <w:right w:val="single" w:sz="4" w:space="0" w:color="auto"/>
            </w:tcBorders>
            <w:vAlign w:val="center"/>
          </w:tcPr>
          <w:p w:rsidR="0041503F" w:rsidRPr="00286CD1" w:rsidRDefault="0041503F" w:rsidP="008A6938">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77.413</w:t>
            </w:r>
          </w:p>
        </w:tc>
        <w:tc>
          <w:tcPr>
            <w:tcW w:w="0" w:type="auto"/>
            <w:tcBorders>
              <w:top w:val="single" w:sz="4" w:space="0" w:color="auto"/>
              <w:left w:val="single" w:sz="4" w:space="0" w:color="auto"/>
              <w:bottom w:val="single" w:sz="4" w:space="0" w:color="auto"/>
              <w:right w:val="single" w:sz="4" w:space="0" w:color="auto"/>
            </w:tcBorders>
            <w:vAlign w:val="center"/>
          </w:tcPr>
          <w:p w:rsidR="0041503F" w:rsidRDefault="0041503F" w:rsidP="008A6938">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Earnings</w:t>
            </w:r>
          </w:p>
          <w:p w:rsidR="0041503F" w:rsidRDefault="0041503F" w:rsidP="0041503F">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$244.8m</w:t>
            </w:r>
          </w:p>
        </w:tc>
        <w:tc>
          <w:tcPr>
            <w:tcW w:w="0" w:type="auto"/>
            <w:tcBorders>
              <w:top w:val="single" w:sz="4" w:space="0" w:color="auto"/>
              <w:left w:val="single" w:sz="4" w:space="0" w:color="auto"/>
              <w:bottom w:val="single" w:sz="4" w:space="0" w:color="auto"/>
              <w:right w:val="single" w:sz="4" w:space="0" w:color="auto"/>
            </w:tcBorders>
            <w:vAlign w:val="center"/>
          </w:tcPr>
          <w:p w:rsidR="0041503F" w:rsidRDefault="0041503F" w:rsidP="008A6938">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$18,950.7m</w:t>
            </w:r>
          </w:p>
          <w:p w:rsidR="0041503F" w:rsidRDefault="0041503F" w:rsidP="00C96107">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 $25.24 </w:t>
            </w:r>
          </w:p>
        </w:tc>
      </w:tr>
      <w:tr w:rsidR="0041503F" w:rsidRPr="00286CD1" w:rsidTr="00C96107">
        <w:trPr>
          <w:jc w:val="center"/>
        </w:trPr>
        <w:tc>
          <w:tcPr>
            <w:tcW w:w="0" w:type="auto"/>
            <w:tcBorders>
              <w:top w:val="single" w:sz="4" w:space="0" w:color="auto"/>
              <w:left w:val="single" w:sz="4" w:space="0" w:color="auto"/>
              <w:bottom w:val="single" w:sz="4" w:space="0" w:color="auto"/>
              <w:right w:val="single" w:sz="4" w:space="0" w:color="auto"/>
            </w:tcBorders>
            <w:hideMark/>
          </w:tcPr>
          <w:p w:rsidR="0041503F" w:rsidRDefault="0041503F" w:rsidP="008A6938">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PS</w:t>
            </w:r>
          </w:p>
          <w:p w:rsidR="0041503F" w:rsidRPr="00286CD1" w:rsidRDefault="00C96107" w:rsidP="00C9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0.31+0.04x</w:t>
            </w:r>
            <w:r w:rsidR="0041503F">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+ 9.17x</w:t>
            </w:r>
            <w:r w:rsidR="0041503F">
              <w:rPr>
                <w:rFonts w:ascii="Times New Roman" w:eastAsia="Times New Roman" w:hAnsi="Times New Roman" w:cs="Times New Roman"/>
                <w:sz w:val="24"/>
                <w:szCs w:val="24"/>
              </w:rPr>
              <w:t>0.5</w:t>
            </w:r>
            <w:r w:rsidR="0041503F" w:rsidRPr="00286CD1">
              <w:rPr>
                <w:rFonts w:ascii="Times New Roman" w:eastAsia="Times New Roman" w:hAnsi="Times New Roman" w:cs="Times New Roman"/>
                <w:sz w:val="24"/>
                <w:szCs w:val="24"/>
                <w:vertAlign w:val="subscript"/>
              </w:rPr>
              <w:t xml:space="preserve"> </w:t>
            </w:r>
            <w:r w:rsidR="0041503F" w:rsidRPr="00286CD1">
              <w:rPr>
                <w:rFonts w:ascii="Times New Roman" w:eastAsia="Times New Roman" w:hAnsi="Times New Roman" w:cs="Times New Roman"/>
                <w:sz w:val="24"/>
                <w:szCs w:val="24"/>
              </w:rPr>
              <w:t>- 0.47</w:t>
            </w:r>
            <w:r>
              <w:rPr>
                <w:rFonts w:ascii="Times New Roman" w:eastAsia="Times New Roman" w:hAnsi="Times New Roman" w:cs="Times New Roman"/>
                <w:sz w:val="24"/>
                <w:szCs w:val="24"/>
              </w:rPr>
              <w:t>x</w:t>
            </w:r>
            <w:r w:rsidR="0041503F">
              <w:rPr>
                <w:rFonts w:ascii="Times New Roman" w:eastAsia="Times New Roman" w:hAnsi="Times New Roman" w:cs="Times New Roman"/>
                <w:sz w:val="24"/>
                <w:szCs w:val="24"/>
              </w:rPr>
              <w:t>0.45</w:t>
            </w:r>
            <w:r>
              <w:rPr>
                <w:rFonts w:ascii="Times New Roman" w:eastAsia="Times New Roman" w:hAnsi="Times New Roman" w:cs="Times New Roman"/>
                <w:sz w:val="24"/>
                <w:szCs w:val="24"/>
              </w:rPr>
              <w:t xml:space="preserve"> + 12.60</w:t>
            </w:r>
            <w:r w:rsidR="0041503F">
              <w:rPr>
                <w:rFonts w:ascii="Times New Roman" w:eastAsia="Times New Roman" w:hAnsi="Times New Roman" w:cs="Times New Roman"/>
                <w:sz w:val="24"/>
                <w:szCs w:val="24"/>
              </w:rPr>
              <w:t>x0.116</w:t>
            </w:r>
            <w:r w:rsidR="0041503F" w:rsidRPr="00286CD1">
              <w:rPr>
                <w:rFonts w:ascii="Times New Roman" w:eastAsia="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41503F" w:rsidRPr="00286CD1" w:rsidRDefault="0041503F" w:rsidP="008A693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6.14</w:t>
            </w:r>
          </w:p>
        </w:tc>
        <w:tc>
          <w:tcPr>
            <w:tcW w:w="0" w:type="auto"/>
            <w:tcBorders>
              <w:top w:val="single" w:sz="4" w:space="0" w:color="auto"/>
              <w:left w:val="single" w:sz="4" w:space="0" w:color="auto"/>
              <w:bottom w:val="single" w:sz="4" w:space="0" w:color="auto"/>
              <w:right w:val="single" w:sz="4" w:space="0" w:color="auto"/>
            </w:tcBorders>
            <w:vAlign w:val="center"/>
          </w:tcPr>
          <w:p w:rsidR="0041503F" w:rsidRDefault="0041503F" w:rsidP="0041503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$2,110m</w:t>
            </w:r>
          </w:p>
        </w:tc>
        <w:tc>
          <w:tcPr>
            <w:tcW w:w="0" w:type="auto"/>
            <w:tcBorders>
              <w:top w:val="single" w:sz="4" w:space="0" w:color="auto"/>
              <w:left w:val="single" w:sz="4" w:space="0" w:color="auto"/>
              <w:bottom w:val="single" w:sz="4" w:space="0" w:color="auto"/>
              <w:right w:val="single" w:sz="4" w:space="0" w:color="auto"/>
            </w:tcBorders>
            <w:vAlign w:val="center"/>
          </w:tcPr>
          <w:p w:rsidR="0041503F" w:rsidRDefault="0041503F" w:rsidP="008A693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$12,966.16m</w:t>
            </w:r>
          </w:p>
          <w:p w:rsidR="0041503F" w:rsidRDefault="0041503F" w:rsidP="00C9610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 $12.27 </w:t>
            </w:r>
          </w:p>
        </w:tc>
      </w:tr>
    </w:tbl>
    <w:p w:rsidR="00D433DA" w:rsidRDefault="00D433DA" w:rsidP="00E23DD3">
      <w:pPr>
        <w:jc w:val="both"/>
      </w:pPr>
      <w:r>
        <w:t>It seems that the asset in the market is priced according to multiples, rather than a DCF approach. According to analysts’ expectations, Twitter should be a strong buy. However there are some strong critiques against it:</w:t>
      </w:r>
    </w:p>
    <w:p w:rsidR="00E27B04" w:rsidRDefault="00D433DA" w:rsidP="00E23DD3">
      <w:pPr>
        <w:jc w:val="both"/>
      </w:pPr>
      <w:r>
        <w:t>Fore example, s</w:t>
      </w:r>
      <w:r w:rsidR="00E27B04">
        <w:t xml:space="preserve">ome insights </w:t>
      </w:r>
    </w:p>
    <w:p w:rsidR="00E27B04" w:rsidRDefault="00E27B04" w:rsidP="00E23DD3">
      <w:pPr>
        <w:jc w:val="both"/>
      </w:pPr>
      <w:hyperlink r:id="rId51" w:history="1">
        <w:r w:rsidRPr="00FA2947">
          <w:rPr>
            <w:rStyle w:val="Hipervnculo"/>
          </w:rPr>
          <w:t>https://www.usatoday.com/story/money/business/2014/02/06/twitter-earnings-report-crash/5259453/</w:t>
        </w:r>
      </w:hyperlink>
      <w:r>
        <w:t xml:space="preserve"> </w:t>
      </w:r>
    </w:p>
    <w:p w:rsidR="00D433DA" w:rsidRDefault="00D433DA" w:rsidP="00E23DD3">
      <w:pPr>
        <w:jc w:val="both"/>
      </w:pPr>
      <w:r>
        <w:t>And this makes the recommendations being rather mixed:</w:t>
      </w:r>
    </w:p>
    <w:p w:rsidR="00D433DA" w:rsidRDefault="00D433DA" w:rsidP="00E23DD3">
      <w:pPr>
        <w:jc w:val="both"/>
      </w:pPr>
    </w:p>
    <w:tbl>
      <w:tblPr>
        <w:tblStyle w:val="Tablaconcuadrcula"/>
        <w:tblW w:w="0" w:type="auto"/>
        <w:tblLook w:val="04A0" w:firstRow="1" w:lastRow="0" w:firstColumn="1" w:lastColumn="0" w:noHBand="0" w:noVBand="1"/>
      </w:tblPr>
      <w:tblGrid>
        <w:gridCol w:w="5466"/>
        <w:gridCol w:w="3550"/>
      </w:tblGrid>
      <w:tr w:rsidR="00EC618B" w:rsidTr="00EC618B">
        <w:tc>
          <w:tcPr>
            <w:tcW w:w="4508" w:type="dxa"/>
            <w:vAlign w:val="center"/>
          </w:tcPr>
          <w:p w:rsidR="00EC618B" w:rsidRDefault="00EC618B" w:rsidP="00EC618B">
            <w:pPr>
              <w:jc w:val="center"/>
            </w:pPr>
            <w:r>
              <w:t>From Nasdaq</w:t>
            </w:r>
          </w:p>
        </w:tc>
        <w:tc>
          <w:tcPr>
            <w:tcW w:w="4508" w:type="dxa"/>
            <w:vAlign w:val="center"/>
          </w:tcPr>
          <w:p w:rsidR="00EC618B" w:rsidRDefault="00EC618B" w:rsidP="00EC618B">
            <w:pPr>
              <w:jc w:val="center"/>
            </w:pPr>
            <w:r>
              <w:t>From EIKON</w:t>
            </w:r>
          </w:p>
        </w:tc>
      </w:tr>
      <w:tr w:rsidR="00EC618B" w:rsidTr="00EC618B">
        <w:tc>
          <w:tcPr>
            <w:tcW w:w="4508" w:type="dxa"/>
            <w:vAlign w:val="center"/>
          </w:tcPr>
          <w:p w:rsidR="00EC618B" w:rsidRDefault="00EC618B" w:rsidP="00EC618B">
            <w:pPr>
              <w:jc w:val="center"/>
            </w:pPr>
            <w:r>
              <w:t>From Nasdaq</w:t>
            </w:r>
          </w:p>
          <w:p w:rsidR="00EC618B" w:rsidRDefault="00EC618B" w:rsidP="00EC618B">
            <w:pPr>
              <w:jc w:val="center"/>
            </w:pPr>
            <w:r>
              <w:rPr>
                <w:noProof/>
                <w:lang w:eastAsia="en-GB"/>
              </w:rPr>
              <w:drawing>
                <wp:inline distT="0" distB="0" distL="0" distR="0" wp14:anchorId="3BB4107F" wp14:editId="05E9AE3C">
                  <wp:extent cx="3238500" cy="952500"/>
                  <wp:effectExtent l="0" t="0" r="0" b="0"/>
                  <wp:docPr id="3" name="Picture 3" descr="https://www.nasdaq.com/charts/TWTR_r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nasdaq.com/charts/TWTR_rm.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38500" cy="952500"/>
                          </a:xfrm>
                          <a:prstGeom prst="rect">
                            <a:avLst/>
                          </a:prstGeom>
                          <a:noFill/>
                          <a:ln>
                            <a:noFill/>
                          </a:ln>
                        </pic:spPr>
                      </pic:pic>
                    </a:graphicData>
                  </a:graphic>
                </wp:inline>
              </w:drawing>
            </w:r>
            <w:r>
              <w:rPr>
                <w:noProof/>
                <w:lang w:eastAsia="en-GB"/>
              </w:rPr>
              <w:drawing>
                <wp:inline distT="0" distB="0" distL="0" distR="0" wp14:anchorId="70CDDBF5" wp14:editId="247C2DA2">
                  <wp:extent cx="3333750" cy="2286000"/>
                  <wp:effectExtent l="0" t="0" r="0" b="0"/>
                  <wp:docPr id="2" name="Picture 2" descr="https://www.nasdaq.com/charts/TWTR_cn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nasdaq.com/charts/TWTR_cnb.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33750" cy="2286000"/>
                          </a:xfrm>
                          <a:prstGeom prst="rect">
                            <a:avLst/>
                          </a:prstGeom>
                          <a:noFill/>
                          <a:ln>
                            <a:noFill/>
                          </a:ln>
                        </pic:spPr>
                      </pic:pic>
                    </a:graphicData>
                  </a:graphic>
                </wp:inline>
              </w:drawing>
            </w:r>
          </w:p>
          <w:p w:rsidR="00EC618B" w:rsidRDefault="00EC618B" w:rsidP="00EC618B">
            <w:pPr>
              <w:jc w:val="center"/>
            </w:pPr>
          </w:p>
        </w:tc>
        <w:tc>
          <w:tcPr>
            <w:tcW w:w="4508" w:type="dxa"/>
            <w:vAlign w:val="center"/>
          </w:tcPr>
          <w:p w:rsidR="00EC618B" w:rsidRDefault="00EC618B" w:rsidP="00EC618B">
            <w:pPr>
              <w:jc w:val="center"/>
            </w:pPr>
            <w:r>
              <w:rPr>
                <w:noProof/>
                <w:lang w:eastAsia="en-GB"/>
              </w:rPr>
              <w:drawing>
                <wp:inline distT="0" distB="0" distL="0" distR="0" wp14:anchorId="4AEF5B6B" wp14:editId="5B930138">
                  <wp:extent cx="5511179" cy="1195375"/>
                  <wp:effectExtent l="5398"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6200000">
                            <a:off x="0" y="0"/>
                            <a:ext cx="5574224" cy="1209049"/>
                          </a:xfrm>
                          <a:prstGeom prst="rect">
                            <a:avLst/>
                          </a:prstGeom>
                          <a:noFill/>
                        </pic:spPr>
                      </pic:pic>
                    </a:graphicData>
                  </a:graphic>
                </wp:inline>
              </w:drawing>
            </w:r>
          </w:p>
        </w:tc>
      </w:tr>
    </w:tbl>
    <w:p w:rsidR="00EC618B" w:rsidRDefault="00EC618B" w:rsidP="00E23DD3">
      <w:pPr>
        <w:jc w:val="both"/>
      </w:pPr>
    </w:p>
    <w:p w:rsidR="003A0AAB" w:rsidRDefault="003A0AAB">
      <w:r>
        <w:br w:type="page"/>
      </w:r>
    </w:p>
    <w:p w:rsidR="003A0AAB" w:rsidRPr="00201BC8" w:rsidRDefault="003A0AAB" w:rsidP="003A0AAB">
      <w:pPr>
        <w:jc w:val="both"/>
        <w:rPr>
          <w:b/>
        </w:rPr>
      </w:pPr>
      <w:r>
        <w:rPr>
          <w:b/>
        </w:rPr>
        <w:t>Update</w:t>
      </w:r>
      <w:r w:rsidRPr="00201BC8">
        <w:rPr>
          <w:b/>
        </w:rPr>
        <w:t xml:space="preserve"> March 201</w:t>
      </w:r>
      <w:r>
        <w:rPr>
          <w:b/>
        </w:rPr>
        <w:t>9</w:t>
      </w:r>
    </w:p>
    <w:p w:rsidR="003A0AAB" w:rsidRDefault="003A0AAB" w:rsidP="003A0AAB">
      <w:pPr>
        <w:jc w:val="both"/>
      </w:pPr>
      <w:r>
        <w:t>Again, we will try to evaluate Twitter (currently traded at $32.59) in a similar way to the 2017 valuation, by borrowing analysts estimates for almost all the figures we are using. First, we will perform a relative valuation and all statistics are taken from EIKON. The peers we considered are first, defined by EIKON.</w:t>
      </w:r>
    </w:p>
    <w:tbl>
      <w:tblPr>
        <w:tblStyle w:val="Tablaconcuadrcula"/>
        <w:tblW w:w="0" w:type="auto"/>
        <w:jc w:val="center"/>
        <w:tblLook w:val="04A0" w:firstRow="1" w:lastRow="0" w:firstColumn="1" w:lastColumn="0" w:noHBand="0" w:noVBand="1"/>
      </w:tblPr>
      <w:tblGrid>
        <w:gridCol w:w="1151"/>
        <w:gridCol w:w="838"/>
        <w:gridCol w:w="1063"/>
        <w:gridCol w:w="1112"/>
        <w:gridCol w:w="857"/>
        <w:gridCol w:w="857"/>
        <w:gridCol w:w="1173"/>
      </w:tblGrid>
      <w:tr w:rsidR="003A0AAB" w:rsidTr="003A0AAB">
        <w:trPr>
          <w:jc w:val="center"/>
        </w:trPr>
        <w:tc>
          <w:tcPr>
            <w:tcW w:w="1151" w:type="dxa"/>
            <w:vAlign w:val="center"/>
          </w:tcPr>
          <w:p w:rsidR="003A0AAB" w:rsidRDefault="003A0AAB" w:rsidP="008A6938">
            <w:pPr>
              <w:jc w:val="center"/>
            </w:pPr>
            <w:r>
              <w:t>Company</w:t>
            </w:r>
          </w:p>
        </w:tc>
        <w:tc>
          <w:tcPr>
            <w:tcW w:w="838" w:type="dxa"/>
            <w:vAlign w:val="center"/>
          </w:tcPr>
          <w:p w:rsidR="003A0AAB" w:rsidRDefault="003A0AAB" w:rsidP="008A6938">
            <w:pPr>
              <w:jc w:val="center"/>
            </w:pPr>
            <w:r>
              <w:t>MAU</w:t>
            </w:r>
          </w:p>
        </w:tc>
        <w:tc>
          <w:tcPr>
            <w:tcW w:w="1063" w:type="dxa"/>
            <w:vAlign w:val="center"/>
          </w:tcPr>
          <w:p w:rsidR="003A0AAB" w:rsidRDefault="003A0AAB" w:rsidP="008A6938">
            <w:pPr>
              <w:jc w:val="center"/>
            </w:pPr>
            <w:r>
              <w:t>MCAP</w:t>
            </w:r>
          </w:p>
        </w:tc>
        <w:tc>
          <w:tcPr>
            <w:tcW w:w="1112" w:type="dxa"/>
            <w:vAlign w:val="center"/>
          </w:tcPr>
          <w:p w:rsidR="003A0AAB" w:rsidRDefault="003A0AAB" w:rsidP="008A6938">
            <w:pPr>
              <w:jc w:val="center"/>
            </w:pPr>
            <w:r>
              <w:t>#shares</w:t>
            </w:r>
          </w:p>
        </w:tc>
        <w:tc>
          <w:tcPr>
            <w:tcW w:w="857" w:type="dxa"/>
            <w:vAlign w:val="center"/>
          </w:tcPr>
          <w:p w:rsidR="003A0AAB" w:rsidRDefault="003A0AAB" w:rsidP="008A6938">
            <w:pPr>
              <w:jc w:val="center"/>
            </w:pPr>
            <w:r>
              <w:t>P/E</w:t>
            </w:r>
          </w:p>
        </w:tc>
        <w:tc>
          <w:tcPr>
            <w:tcW w:w="857" w:type="dxa"/>
            <w:vAlign w:val="center"/>
          </w:tcPr>
          <w:p w:rsidR="003A0AAB" w:rsidRDefault="003A0AAB" w:rsidP="008A6938">
            <w:pPr>
              <w:jc w:val="center"/>
            </w:pPr>
            <w:r>
              <w:t>P/S</w:t>
            </w:r>
          </w:p>
        </w:tc>
        <w:tc>
          <w:tcPr>
            <w:tcW w:w="1173" w:type="dxa"/>
            <w:vAlign w:val="center"/>
          </w:tcPr>
          <w:p w:rsidR="003A0AAB" w:rsidRDefault="003A0AAB" w:rsidP="008A6938">
            <w:pPr>
              <w:jc w:val="center"/>
            </w:pPr>
            <w:r>
              <w:t>Revenue</w:t>
            </w:r>
          </w:p>
        </w:tc>
      </w:tr>
      <w:tr w:rsidR="003A0AAB" w:rsidTr="003A0AAB">
        <w:trPr>
          <w:jc w:val="center"/>
        </w:trPr>
        <w:tc>
          <w:tcPr>
            <w:tcW w:w="1151" w:type="dxa"/>
            <w:vAlign w:val="center"/>
          </w:tcPr>
          <w:p w:rsidR="003A0AAB" w:rsidRDefault="003A0AAB" w:rsidP="008A6938">
            <w:pPr>
              <w:jc w:val="center"/>
            </w:pPr>
            <w:r>
              <w:t>Twitter</w:t>
            </w:r>
          </w:p>
        </w:tc>
        <w:tc>
          <w:tcPr>
            <w:tcW w:w="838" w:type="dxa"/>
            <w:vAlign w:val="center"/>
          </w:tcPr>
          <w:p w:rsidR="003A0AAB" w:rsidRDefault="003A0AAB" w:rsidP="003A0AAB">
            <w:pPr>
              <w:jc w:val="center"/>
            </w:pPr>
            <w:hyperlink r:id="rId55" w:history="1">
              <w:r w:rsidRPr="003A0AAB">
                <w:rPr>
                  <w:rStyle w:val="Hipervnculo"/>
                </w:rPr>
                <w:t>326m</w:t>
              </w:r>
            </w:hyperlink>
          </w:p>
        </w:tc>
        <w:tc>
          <w:tcPr>
            <w:tcW w:w="1063" w:type="dxa"/>
            <w:vAlign w:val="center"/>
          </w:tcPr>
          <w:p w:rsidR="003A0AAB" w:rsidRDefault="003A0AAB" w:rsidP="003A0AAB">
            <w:pPr>
              <w:jc w:val="center"/>
            </w:pPr>
            <w:r>
              <w:t>$23.98b</w:t>
            </w:r>
          </w:p>
        </w:tc>
        <w:tc>
          <w:tcPr>
            <w:tcW w:w="1112" w:type="dxa"/>
            <w:vAlign w:val="center"/>
          </w:tcPr>
          <w:p w:rsidR="003A0AAB" w:rsidRDefault="003A0AAB" w:rsidP="003A0AAB">
            <w:pPr>
              <w:jc w:val="center"/>
            </w:pPr>
            <w:r>
              <w:t>772.69m</w:t>
            </w:r>
          </w:p>
        </w:tc>
        <w:tc>
          <w:tcPr>
            <w:tcW w:w="857" w:type="dxa"/>
            <w:vAlign w:val="center"/>
          </w:tcPr>
          <w:p w:rsidR="003A0AAB" w:rsidRDefault="003A0AAB" w:rsidP="008A6938">
            <w:pPr>
              <w:jc w:val="center"/>
            </w:pPr>
            <w:r>
              <w:t>20.11</w:t>
            </w:r>
          </w:p>
        </w:tc>
        <w:tc>
          <w:tcPr>
            <w:tcW w:w="857" w:type="dxa"/>
            <w:vAlign w:val="center"/>
          </w:tcPr>
          <w:p w:rsidR="003A0AAB" w:rsidRDefault="003A0AAB" w:rsidP="008A6938">
            <w:pPr>
              <w:jc w:val="center"/>
            </w:pPr>
            <w:r>
              <w:t>7.40</w:t>
            </w:r>
          </w:p>
        </w:tc>
        <w:tc>
          <w:tcPr>
            <w:tcW w:w="1173" w:type="dxa"/>
            <w:vAlign w:val="center"/>
          </w:tcPr>
          <w:p w:rsidR="003A0AAB" w:rsidRDefault="003A0AAB" w:rsidP="003A0AAB">
            <w:pPr>
              <w:jc w:val="center"/>
            </w:pPr>
            <w:r>
              <w:t>$3.04b</w:t>
            </w:r>
          </w:p>
        </w:tc>
      </w:tr>
      <w:tr w:rsidR="003A0AAB" w:rsidTr="003A0AAB">
        <w:trPr>
          <w:jc w:val="center"/>
        </w:trPr>
        <w:tc>
          <w:tcPr>
            <w:tcW w:w="1151" w:type="dxa"/>
            <w:vAlign w:val="center"/>
          </w:tcPr>
          <w:p w:rsidR="003A0AAB" w:rsidRDefault="003A0AAB" w:rsidP="008A6938">
            <w:pPr>
              <w:jc w:val="center"/>
            </w:pPr>
            <w:r>
              <w:t>Facebook</w:t>
            </w:r>
          </w:p>
        </w:tc>
        <w:tc>
          <w:tcPr>
            <w:tcW w:w="838" w:type="dxa"/>
            <w:vAlign w:val="center"/>
          </w:tcPr>
          <w:p w:rsidR="003A0AAB" w:rsidRDefault="003A0AAB" w:rsidP="008A6938">
            <w:pPr>
              <w:jc w:val="center"/>
            </w:pPr>
            <w:hyperlink r:id="rId56" w:history="1">
              <w:r w:rsidRPr="003A0AAB">
                <w:rPr>
                  <w:rStyle w:val="Hipervnculo"/>
                </w:rPr>
                <w:t>2.32b</w:t>
              </w:r>
            </w:hyperlink>
          </w:p>
        </w:tc>
        <w:tc>
          <w:tcPr>
            <w:tcW w:w="1063" w:type="dxa"/>
            <w:vAlign w:val="center"/>
          </w:tcPr>
          <w:p w:rsidR="003A0AAB" w:rsidRDefault="003A0AAB" w:rsidP="003A0AAB">
            <w:pPr>
              <w:jc w:val="center"/>
            </w:pPr>
            <w:r>
              <w:t>$461.12b</w:t>
            </w:r>
          </w:p>
        </w:tc>
        <w:tc>
          <w:tcPr>
            <w:tcW w:w="1112" w:type="dxa"/>
            <w:vAlign w:val="center"/>
          </w:tcPr>
          <w:p w:rsidR="003A0AAB" w:rsidRDefault="003A0AAB" w:rsidP="008A6938">
            <w:pPr>
              <w:jc w:val="center"/>
            </w:pPr>
            <w:r>
              <w:t>2,921m</w:t>
            </w:r>
          </w:p>
        </w:tc>
        <w:tc>
          <w:tcPr>
            <w:tcW w:w="857" w:type="dxa"/>
            <w:vAlign w:val="center"/>
          </w:tcPr>
          <w:p w:rsidR="003A0AAB" w:rsidRDefault="003A0AAB" w:rsidP="008A6938">
            <w:pPr>
              <w:jc w:val="center"/>
            </w:pPr>
            <w:r>
              <w:t>21.23</w:t>
            </w:r>
          </w:p>
        </w:tc>
        <w:tc>
          <w:tcPr>
            <w:tcW w:w="857" w:type="dxa"/>
            <w:vAlign w:val="center"/>
          </w:tcPr>
          <w:p w:rsidR="003A0AAB" w:rsidRDefault="003A0AAB" w:rsidP="008A6938">
            <w:pPr>
              <w:jc w:val="center"/>
            </w:pPr>
            <w:r>
              <w:t>6.30</w:t>
            </w:r>
          </w:p>
        </w:tc>
        <w:tc>
          <w:tcPr>
            <w:tcW w:w="1173" w:type="dxa"/>
            <w:vAlign w:val="center"/>
          </w:tcPr>
          <w:p w:rsidR="003A0AAB" w:rsidRDefault="003A0AAB" w:rsidP="003A0AAB">
            <w:pPr>
              <w:jc w:val="center"/>
            </w:pPr>
            <w:r>
              <w:t>$55.84b</w:t>
            </w:r>
          </w:p>
        </w:tc>
      </w:tr>
      <w:tr w:rsidR="003A0AAB" w:rsidTr="003A0AAB">
        <w:trPr>
          <w:jc w:val="center"/>
        </w:trPr>
        <w:tc>
          <w:tcPr>
            <w:tcW w:w="1151" w:type="dxa"/>
            <w:vAlign w:val="center"/>
          </w:tcPr>
          <w:p w:rsidR="003A0AAB" w:rsidRDefault="003A0AAB" w:rsidP="008A6938">
            <w:pPr>
              <w:jc w:val="center"/>
            </w:pPr>
            <w:r>
              <w:t>Snapchat</w:t>
            </w:r>
          </w:p>
        </w:tc>
        <w:tc>
          <w:tcPr>
            <w:tcW w:w="838" w:type="dxa"/>
            <w:vAlign w:val="center"/>
          </w:tcPr>
          <w:p w:rsidR="003A0AAB" w:rsidRDefault="003A0AAB" w:rsidP="003A0AAB">
            <w:pPr>
              <w:jc w:val="center"/>
            </w:pPr>
            <w:hyperlink r:id="rId57" w:history="1">
              <w:r w:rsidRPr="003A0AAB">
                <w:rPr>
                  <w:rStyle w:val="Hipervnculo"/>
                </w:rPr>
                <w:t>30</w:t>
              </w:r>
              <w:r>
                <w:rPr>
                  <w:rStyle w:val="Hipervnculo"/>
                </w:rPr>
                <w:t>1m</w:t>
              </w:r>
            </w:hyperlink>
          </w:p>
        </w:tc>
        <w:tc>
          <w:tcPr>
            <w:tcW w:w="1063" w:type="dxa"/>
            <w:vAlign w:val="center"/>
          </w:tcPr>
          <w:p w:rsidR="003A0AAB" w:rsidRDefault="003A0AAB" w:rsidP="003A0AAB">
            <w:pPr>
              <w:jc w:val="center"/>
            </w:pPr>
            <w:r>
              <w:t>$14.04b</w:t>
            </w:r>
          </w:p>
        </w:tc>
        <w:tc>
          <w:tcPr>
            <w:tcW w:w="1112" w:type="dxa"/>
            <w:vAlign w:val="center"/>
          </w:tcPr>
          <w:p w:rsidR="003A0AAB" w:rsidRDefault="003A0AAB" w:rsidP="008A6938">
            <w:pPr>
              <w:jc w:val="center"/>
            </w:pPr>
            <w:r>
              <w:t>1,294.75b</w:t>
            </w:r>
          </w:p>
        </w:tc>
        <w:tc>
          <w:tcPr>
            <w:tcW w:w="857" w:type="dxa"/>
            <w:vAlign w:val="center"/>
          </w:tcPr>
          <w:p w:rsidR="003A0AAB" w:rsidRDefault="003A0AAB" w:rsidP="008A6938">
            <w:pPr>
              <w:jc w:val="center"/>
            </w:pPr>
            <w:r>
              <w:t>N/A</w:t>
            </w:r>
          </w:p>
        </w:tc>
        <w:tc>
          <w:tcPr>
            <w:tcW w:w="857" w:type="dxa"/>
            <w:vAlign w:val="center"/>
          </w:tcPr>
          <w:p w:rsidR="003A0AAB" w:rsidRDefault="003A0AAB" w:rsidP="003A0AAB">
            <w:pPr>
              <w:jc w:val="center"/>
            </w:pPr>
            <w:r>
              <w:t>5.60</w:t>
            </w:r>
          </w:p>
        </w:tc>
        <w:tc>
          <w:tcPr>
            <w:tcW w:w="1173" w:type="dxa"/>
            <w:vAlign w:val="center"/>
          </w:tcPr>
          <w:p w:rsidR="003A0AAB" w:rsidRDefault="003A0AAB" w:rsidP="003A0AAB">
            <w:pPr>
              <w:jc w:val="center"/>
            </w:pPr>
            <w:r>
              <w:t>$1.18b</w:t>
            </w:r>
          </w:p>
        </w:tc>
      </w:tr>
      <w:tr w:rsidR="003A0AAB" w:rsidTr="003A0AAB">
        <w:trPr>
          <w:jc w:val="center"/>
        </w:trPr>
        <w:tc>
          <w:tcPr>
            <w:tcW w:w="1151" w:type="dxa"/>
            <w:vAlign w:val="center"/>
          </w:tcPr>
          <w:p w:rsidR="003A0AAB" w:rsidRDefault="003A0AAB" w:rsidP="008A6938">
            <w:pPr>
              <w:jc w:val="center"/>
            </w:pPr>
            <w:r>
              <w:t>Industry Average</w:t>
            </w:r>
          </w:p>
        </w:tc>
        <w:tc>
          <w:tcPr>
            <w:tcW w:w="838" w:type="dxa"/>
            <w:vAlign w:val="center"/>
          </w:tcPr>
          <w:p w:rsidR="003A0AAB" w:rsidRDefault="003A0AAB" w:rsidP="008A6938">
            <w:pPr>
              <w:jc w:val="center"/>
            </w:pPr>
          </w:p>
        </w:tc>
        <w:tc>
          <w:tcPr>
            <w:tcW w:w="1063" w:type="dxa"/>
            <w:vAlign w:val="center"/>
          </w:tcPr>
          <w:p w:rsidR="003A0AAB" w:rsidRDefault="003A0AAB" w:rsidP="008A6938">
            <w:pPr>
              <w:jc w:val="center"/>
            </w:pPr>
          </w:p>
        </w:tc>
        <w:tc>
          <w:tcPr>
            <w:tcW w:w="1112" w:type="dxa"/>
            <w:vAlign w:val="center"/>
          </w:tcPr>
          <w:p w:rsidR="003A0AAB" w:rsidRDefault="003A0AAB" w:rsidP="008A6938">
            <w:pPr>
              <w:jc w:val="center"/>
            </w:pPr>
          </w:p>
        </w:tc>
        <w:tc>
          <w:tcPr>
            <w:tcW w:w="857" w:type="dxa"/>
            <w:vAlign w:val="center"/>
          </w:tcPr>
          <w:p w:rsidR="003A0AAB" w:rsidRDefault="003A0AAB" w:rsidP="008A6938">
            <w:pPr>
              <w:jc w:val="center"/>
            </w:pPr>
            <w:r>
              <w:t>125.62</w:t>
            </w:r>
          </w:p>
        </w:tc>
        <w:tc>
          <w:tcPr>
            <w:tcW w:w="857" w:type="dxa"/>
            <w:vAlign w:val="center"/>
          </w:tcPr>
          <w:p w:rsidR="003A0AAB" w:rsidRDefault="003A0AAB" w:rsidP="008A6938">
            <w:pPr>
              <w:jc w:val="center"/>
            </w:pPr>
            <w:r>
              <w:t>6.01</w:t>
            </w:r>
          </w:p>
        </w:tc>
        <w:tc>
          <w:tcPr>
            <w:tcW w:w="1173" w:type="dxa"/>
            <w:vAlign w:val="center"/>
          </w:tcPr>
          <w:p w:rsidR="003A0AAB" w:rsidRDefault="003A0AAB" w:rsidP="008A6938">
            <w:pPr>
              <w:jc w:val="center"/>
            </w:pPr>
            <w:r>
              <w:t>$1.51b</w:t>
            </w:r>
          </w:p>
        </w:tc>
      </w:tr>
      <w:tr w:rsidR="003A0AAB" w:rsidTr="003A0AAB">
        <w:trPr>
          <w:jc w:val="center"/>
        </w:trPr>
        <w:tc>
          <w:tcPr>
            <w:tcW w:w="1151" w:type="dxa"/>
            <w:vAlign w:val="center"/>
          </w:tcPr>
          <w:p w:rsidR="003A0AAB" w:rsidRDefault="003A0AAB" w:rsidP="008A6938">
            <w:pPr>
              <w:jc w:val="center"/>
            </w:pPr>
            <w:r>
              <w:t>Industry Median</w:t>
            </w:r>
          </w:p>
        </w:tc>
        <w:tc>
          <w:tcPr>
            <w:tcW w:w="838" w:type="dxa"/>
            <w:vAlign w:val="center"/>
          </w:tcPr>
          <w:p w:rsidR="003A0AAB" w:rsidRDefault="003A0AAB" w:rsidP="008A6938">
            <w:pPr>
              <w:jc w:val="center"/>
            </w:pPr>
          </w:p>
        </w:tc>
        <w:tc>
          <w:tcPr>
            <w:tcW w:w="1063" w:type="dxa"/>
            <w:vAlign w:val="center"/>
          </w:tcPr>
          <w:p w:rsidR="003A0AAB" w:rsidRDefault="003A0AAB" w:rsidP="008A6938">
            <w:pPr>
              <w:jc w:val="center"/>
            </w:pPr>
          </w:p>
        </w:tc>
        <w:tc>
          <w:tcPr>
            <w:tcW w:w="1112" w:type="dxa"/>
            <w:vAlign w:val="center"/>
          </w:tcPr>
          <w:p w:rsidR="003A0AAB" w:rsidRDefault="003A0AAB" w:rsidP="008A6938">
            <w:pPr>
              <w:jc w:val="center"/>
            </w:pPr>
          </w:p>
        </w:tc>
        <w:tc>
          <w:tcPr>
            <w:tcW w:w="857" w:type="dxa"/>
            <w:vAlign w:val="center"/>
          </w:tcPr>
          <w:p w:rsidR="003A0AAB" w:rsidRDefault="003A0AAB" w:rsidP="003A0AAB">
            <w:pPr>
              <w:jc w:val="center"/>
            </w:pPr>
            <w:r>
              <w:t>28.16</w:t>
            </w:r>
          </w:p>
        </w:tc>
        <w:tc>
          <w:tcPr>
            <w:tcW w:w="857" w:type="dxa"/>
            <w:vAlign w:val="center"/>
          </w:tcPr>
          <w:p w:rsidR="003A0AAB" w:rsidRDefault="003A0AAB" w:rsidP="008A6938">
            <w:pPr>
              <w:jc w:val="center"/>
            </w:pPr>
            <w:r>
              <w:t>2.22</w:t>
            </w:r>
          </w:p>
        </w:tc>
        <w:tc>
          <w:tcPr>
            <w:tcW w:w="1173" w:type="dxa"/>
            <w:vAlign w:val="center"/>
          </w:tcPr>
          <w:p w:rsidR="003A0AAB" w:rsidRDefault="003A0AAB" w:rsidP="008A6938">
            <w:pPr>
              <w:jc w:val="center"/>
            </w:pPr>
            <w:r>
              <w:t>$981,960</w:t>
            </w:r>
          </w:p>
        </w:tc>
      </w:tr>
    </w:tbl>
    <w:p w:rsidR="003A0AAB" w:rsidRDefault="003A0AAB" w:rsidP="003A0AAB">
      <w:pPr>
        <w:jc w:val="both"/>
      </w:pPr>
    </w:p>
    <w:p w:rsidR="003A0AAB" w:rsidRDefault="003A0AAB" w:rsidP="003A0AAB">
      <w:pPr>
        <w:jc w:val="both"/>
      </w:pPr>
      <w:r>
        <w:t xml:space="preserve">Net capital expenditure, WC needs, Operating margins and cost of capital are taken from industry (Software-Internet) averages for the US market from </w:t>
      </w:r>
      <w:hyperlink r:id="rId58" w:anchor="industry" w:history="1">
        <w:r w:rsidRPr="002C1061">
          <w:rPr>
            <w:rStyle w:val="Hipervnculo"/>
          </w:rPr>
          <w:t>here</w:t>
        </w:r>
      </w:hyperlink>
      <w:r>
        <w:t>.</w:t>
      </w:r>
    </w:p>
    <w:tbl>
      <w:tblPr>
        <w:tblStyle w:val="Tablaconcuadrcula"/>
        <w:tblW w:w="0" w:type="auto"/>
        <w:jc w:val="center"/>
        <w:tblLook w:val="04A0" w:firstRow="1" w:lastRow="0" w:firstColumn="1" w:lastColumn="0" w:noHBand="0" w:noVBand="1"/>
      </w:tblPr>
      <w:tblGrid>
        <w:gridCol w:w="1802"/>
        <w:gridCol w:w="1736"/>
      </w:tblGrid>
      <w:tr w:rsidR="003A0AAB" w:rsidTr="008A6938">
        <w:trPr>
          <w:jc w:val="center"/>
        </w:trPr>
        <w:tc>
          <w:tcPr>
            <w:tcW w:w="0" w:type="auto"/>
            <w:vAlign w:val="center"/>
          </w:tcPr>
          <w:p w:rsidR="003A0AAB" w:rsidRDefault="003A0AAB" w:rsidP="008A6938">
            <w:pPr>
              <w:jc w:val="center"/>
            </w:pPr>
          </w:p>
        </w:tc>
        <w:tc>
          <w:tcPr>
            <w:tcW w:w="0" w:type="auto"/>
            <w:vAlign w:val="center"/>
          </w:tcPr>
          <w:p w:rsidR="003A0AAB" w:rsidRDefault="003A0AAB" w:rsidP="008A6938">
            <w:pPr>
              <w:jc w:val="center"/>
            </w:pPr>
            <w:r>
              <w:t>Industry Average</w:t>
            </w:r>
          </w:p>
        </w:tc>
      </w:tr>
      <w:tr w:rsidR="003A0AAB" w:rsidTr="008A6938">
        <w:trPr>
          <w:jc w:val="center"/>
        </w:trPr>
        <w:tc>
          <w:tcPr>
            <w:tcW w:w="0" w:type="auto"/>
            <w:vAlign w:val="center"/>
          </w:tcPr>
          <w:p w:rsidR="003A0AAB" w:rsidRDefault="003A0AAB" w:rsidP="008A6938">
            <w:pPr>
              <w:jc w:val="center"/>
            </w:pPr>
            <w:r>
              <w:t>NEC/Sales</w:t>
            </w:r>
          </w:p>
        </w:tc>
        <w:tc>
          <w:tcPr>
            <w:tcW w:w="0" w:type="auto"/>
            <w:vAlign w:val="center"/>
          </w:tcPr>
          <w:p w:rsidR="003A0AAB" w:rsidRDefault="003A0AAB" w:rsidP="008A6938">
            <w:pPr>
              <w:jc w:val="center"/>
            </w:pPr>
            <w:r>
              <w:t>8.92%</w:t>
            </w:r>
          </w:p>
        </w:tc>
      </w:tr>
      <w:tr w:rsidR="003A0AAB" w:rsidTr="008A6938">
        <w:trPr>
          <w:jc w:val="center"/>
        </w:trPr>
        <w:tc>
          <w:tcPr>
            <w:tcW w:w="0" w:type="auto"/>
            <w:vAlign w:val="center"/>
          </w:tcPr>
          <w:p w:rsidR="003A0AAB" w:rsidRDefault="003A0AAB" w:rsidP="008A6938">
            <w:pPr>
              <w:jc w:val="center"/>
            </w:pPr>
            <w:r>
              <w:t>WC/Sales</w:t>
            </w:r>
          </w:p>
        </w:tc>
        <w:tc>
          <w:tcPr>
            <w:tcW w:w="0" w:type="auto"/>
            <w:vAlign w:val="center"/>
          </w:tcPr>
          <w:p w:rsidR="003A0AAB" w:rsidRDefault="003A0AAB" w:rsidP="008A6938">
            <w:pPr>
              <w:jc w:val="center"/>
            </w:pPr>
            <w:r>
              <w:t>9.86%</w:t>
            </w:r>
          </w:p>
        </w:tc>
      </w:tr>
      <w:tr w:rsidR="003A0AAB" w:rsidTr="008A6938">
        <w:trPr>
          <w:jc w:val="center"/>
        </w:trPr>
        <w:tc>
          <w:tcPr>
            <w:tcW w:w="0" w:type="auto"/>
            <w:vAlign w:val="center"/>
          </w:tcPr>
          <w:p w:rsidR="003A0AAB" w:rsidRDefault="003A0AAB" w:rsidP="008A6938">
            <w:pPr>
              <w:jc w:val="center"/>
            </w:pPr>
            <w:r>
              <w:t>Operating Margin</w:t>
            </w:r>
          </w:p>
        </w:tc>
        <w:tc>
          <w:tcPr>
            <w:tcW w:w="0" w:type="auto"/>
            <w:vAlign w:val="center"/>
          </w:tcPr>
          <w:p w:rsidR="003A0AAB" w:rsidRDefault="003A0AAB" w:rsidP="008A6938">
            <w:pPr>
              <w:jc w:val="center"/>
            </w:pPr>
            <w:r>
              <w:t>20.10%</w:t>
            </w:r>
          </w:p>
        </w:tc>
      </w:tr>
      <w:tr w:rsidR="003A0AAB" w:rsidTr="008A6938">
        <w:trPr>
          <w:jc w:val="center"/>
        </w:trPr>
        <w:tc>
          <w:tcPr>
            <w:tcW w:w="0" w:type="auto"/>
            <w:vAlign w:val="center"/>
          </w:tcPr>
          <w:p w:rsidR="003A0AAB" w:rsidRDefault="003A0AAB" w:rsidP="008A6938">
            <w:pPr>
              <w:jc w:val="center"/>
            </w:pPr>
            <w:r>
              <w:t>Cost of capital</w:t>
            </w:r>
          </w:p>
        </w:tc>
        <w:tc>
          <w:tcPr>
            <w:tcW w:w="0" w:type="auto"/>
            <w:vAlign w:val="center"/>
          </w:tcPr>
          <w:p w:rsidR="003A0AAB" w:rsidRDefault="003A0AAB" w:rsidP="008A6938">
            <w:pPr>
              <w:jc w:val="center"/>
            </w:pPr>
            <w:r>
              <w:t>8.36%</w:t>
            </w:r>
          </w:p>
        </w:tc>
      </w:tr>
    </w:tbl>
    <w:p w:rsidR="003A0AAB" w:rsidRDefault="003A0AAB" w:rsidP="003A0AAB">
      <w:pPr>
        <w:jc w:val="both"/>
      </w:pPr>
    </w:p>
    <w:p w:rsidR="003A0AAB" w:rsidRPr="003A0AAB" w:rsidRDefault="003A0AAB" w:rsidP="003A0AAB">
      <w:pPr>
        <w:jc w:val="both"/>
      </w:pPr>
      <w:r w:rsidRPr="003A0AAB">
        <w:t xml:space="preserve">Some </w:t>
      </w:r>
      <w:r>
        <w:t>further inputs from the Damodaran database, from Nasdaq and from EIKON</w:t>
      </w:r>
    </w:p>
    <w:tbl>
      <w:tblPr>
        <w:tblStyle w:val="Tablaconcuadrcula"/>
        <w:tblW w:w="0" w:type="auto"/>
        <w:tblLook w:val="04A0" w:firstRow="1" w:lastRow="0" w:firstColumn="1" w:lastColumn="0" w:noHBand="0" w:noVBand="1"/>
      </w:tblPr>
      <w:tblGrid>
        <w:gridCol w:w="4508"/>
        <w:gridCol w:w="4508"/>
      </w:tblGrid>
      <w:tr w:rsidR="003A0AAB" w:rsidTr="008A6938">
        <w:tc>
          <w:tcPr>
            <w:tcW w:w="4508" w:type="dxa"/>
            <w:vAlign w:val="center"/>
          </w:tcPr>
          <w:p w:rsidR="003A0AAB" w:rsidRPr="00DC3BA3" w:rsidRDefault="003A0AAB" w:rsidP="008A6938">
            <w:pPr>
              <w:jc w:val="center"/>
              <w:rPr>
                <w:b/>
              </w:rPr>
            </w:pPr>
            <w:r w:rsidRPr="00DC3BA3">
              <w:rPr>
                <w:b/>
              </w:rPr>
              <w:t>Item</w:t>
            </w:r>
          </w:p>
        </w:tc>
        <w:tc>
          <w:tcPr>
            <w:tcW w:w="4508" w:type="dxa"/>
            <w:vAlign w:val="center"/>
          </w:tcPr>
          <w:p w:rsidR="003A0AAB" w:rsidRPr="00DC3BA3" w:rsidRDefault="003A0AAB" w:rsidP="008A6938">
            <w:pPr>
              <w:jc w:val="center"/>
              <w:rPr>
                <w:b/>
              </w:rPr>
            </w:pPr>
            <w:r w:rsidRPr="00DC3BA3">
              <w:rPr>
                <w:b/>
              </w:rPr>
              <w:t>Value</w:t>
            </w:r>
          </w:p>
        </w:tc>
      </w:tr>
      <w:tr w:rsidR="003A0AAB" w:rsidTr="008A6938">
        <w:tc>
          <w:tcPr>
            <w:tcW w:w="4508" w:type="dxa"/>
            <w:vAlign w:val="center"/>
          </w:tcPr>
          <w:p w:rsidR="003A0AAB" w:rsidRDefault="003A0AAB" w:rsidP="008A6938">
            <w:pPr>
              <w:jc w:val="center"/>
            </w:pPr>
            <w:r>
              <w:t>EPS</w:t>
            </w:r>
          </w:p>
        </w:tc>
        <w:tc>
          <w:tcPr>
            <w:tcW w:w="4508" w:type="dxa"/>
            <w:vAlign w:val="center"/>
          </w:tcPr>
          <w:p w:rsidR="003A0AAB" w:rsidRDefault="003A0AAB" w:rsidP="008A6938">
            <w:pPr>
              <w:jc w:val="center"/>
            </w:pPr>
            <w:r>
              <w:t>$0.81</w:t>
            </w:r>
          </w:p>
        </w:tc>
      </w:tr>
      <w:tr w:rsidR="003A0AAB" w:rsidTr="008A6938">
        <w:tc>
          <w:tcPr>
            <w:tcW w:w="4508" w:type="dxa"/>
            <w:vAlign w:val="center"/>
          </w:tcPr>
          <w:p w:rsidR="003A0AAB" w:rsidRDefault="003A0AAB" w:rsidP="008A6938">
            <w:pPr>
              <w:jc w:val="center"/>
            </w:pPr>
            <w:r>
              <w:t>NPM</w:t>
            </w:r>
          </w:p>
        </w:tc>
        <w:tc>
          <w:tcPr>
            <w:tcW w:w="4508" w:type="dxa"/>
            <w:vAlign w:val="center"/>
          </w:tcPr>
          <w:p w:rsidR="003A0AAB" w:rsidRDefault="003A0AAB" w:rsidP="008A6938">
            <w:pPr>
              <w:jc w:val="center"/>
            </w:pPr>
            <w:r>
              <w:t>28.09%</w:t>
            </w:r>
          </w:p>
        </w:tc>
      </w:tr>
      <w:tr w:rsidR="003A0AAB" w:rsidTr="008A6938">
        <w:tc>
          <w:tcPr>
            <w:tcW w:w="4508" w:type="dxa"/>
            <w:vAlign w:val="center"/>
          </w:tcPr>
          <w:p w:rsidR="003A0AAB" w:rsidRDefault="003A0AAB" w:rsidP="008A6938">
            <w:pPr>
              <w:jc w:val="center"/>
            </w:pPr>
            <w:r>
              <w:t>NPM (industry)</w:t>
            </w:r>
          </w:p>
        </w:tc>
        <w:tc>
          <w:tcPr>
            <w:tcW w:w="4508" w:type="dxa"/>
            <w:vAlign w:val="center"/>
          </w:tcPr>
          <w:p w:rsidR="003A0AAB" w:rsidRDefault="003A0AAB" w:rsidP="008A6938">
            <w:pPr>
              <w:jc w:val="center"/>
            </w:pPr>
            <w:r>
              <w:t>23.83%</w:t>
            </w:r>
          </w:p>
        </w:tc>
      </w:tr>
      <w:tr w:rsidR="003A0AAB" w:rsidTr="008A6938">
        <w:tc>
          <w:tcPr>
            <w:tcW w:w="4508" w:type="dxa"/>
            <w:vAlign w:val="center"/>
          </w:tcPr>
          <w:p w:rsidR="003A0AAB" w:rsidRDefault="003A0AAB" w:rsidP="008A6938">
            <w:pPr>
              <w:jc w:val="center"/>
            </w:pPr>
            <w:r>
              <w:t>Growth in earnings (expected)</w:t>
            </w:r>
          </w:p>
        </w:tc>
        <w:tc>
          <w:tcPr>
            <w:tcW w:w="4508" w:type="dxa"/>
            <w:vAlign w:val="center"/>
          </w:tcPr>
          <w:p w:rsidR="003A0AAB" w:rsidRDefault="003A0AAB" w:rsidP="008A6938">
            <w:pPr>
              <w:jc w:val="center"/>
            </w:pPr>
            <w:r>
              <w:t>35%</w:t>
            </w:r>
          </w:p>
        </w:tc>
      </w:tr>
      <w:tr w:rsidR="003A0AAB" w:rsidTr="008A6938">
        <w:tc>
          <w:tcPr>
            <w:tcW w:w="4508" w:type="dxa"/>
            <w:vAlign w:val="center"/>
          </w:tcPr>
          <w:p w:rsidR="003A0AAB" w:rsidRDefault="003A0AAB" w:rsidP="008A6938">
            <w:pPr>
              <w:jc w:val="center"/>
            </w:pPr>
            <w:r>
              <w:t>beta</w:t>
            </w:r>
          </w:p>
        </w:tc>
        <w:tc>
          <w:tcPr>
            <w:tcW w:w="4508" w:type="dxa"/>
            <w:vAlign w:val="center"/>
          </w:tcPr>
          <w:p w:rsidR="003A0AAB" w:rsidRDefault="003A0AAB" w:rsidP="008A6938">
            <w:pPr>
              <w:jc w:val="center"/>
            </w:pPr>
            <w:r>
              <w:t>1.72</w:t>
            </w:r>
          </w:p>
        </w:tc>
      </w:tr>
      <w:tr w:rsidR="003A0AAB" w:rsidTr="008A6938">
        <w:tc>
          <w:tcPr>
            <w:tcW w:w="4508" w:type="dxa"/>
            <w:vAlign w:val="center"/>
          </w:tcPr>
          <w:p w:rsidR="003A0AAB" w:rsidRDefault="003A0AAB" w:rsidP="008A6938">
            <w:pPr>
              <w:jc w:val="center"/>
            </w:pPr>
            <w:r>
              <w:t>MRP</w:t>
            </w:r>
            <w:r w:rsidR="003F7350">
              <w:t xml:space="preserve"> (Lecture Notes/Damodaran)</w:t>
            </w:r>
          </w:p>
        </w:tc>
        <w:tc>
          <w:tcPr>
            <w:tcW w:w="4508" w:type="dxa"/>
            <w:vAlign w:val="center"/>
          </w:tcPr>
          <w:p w:rsidR="003A0AAB" w:rsidRDefault="003A0AAB" w:rsidP="008A6938">
            <w:pPr>
              <w:jc w:val="center"/>
            </w:pPr>
            <w:r>
              <w:t>5.69%</w:t>
            </w:r>
          </w:p>
        </w:tc>
      </w:tr>
      <w:tr w:rsidR="003A0AAB" w:rsidTr="008A6938">
        <w:tc>
          <w:tcPr>
            <w:tcW w:w="4508" w:type="dxa"/>
            <w:vAlign w:val="center"/>
          </w:tcPr>
          <w:p w:rsidR="003A0AAB" w:rsidRDefault="003A0AAB" w:rsidP="008A6938">
            <w:pPr>
              <w:jc w:val="center"/>
            </w:pPr>
            <w:r>
              <w:t>10y American Treasury bond yield</w:t>
            </w:r>
          </w:p>
        </w:tc>
        <w:tc>
          <w:tcPr>
            <w:tcW w:w="4508" w:type="dxa"/>
            <w:vAlign w:val="center"/>
          </w:tcPr>
          <w:p w:rsidR="003A0AAB" w:rsidRDefault="003A0AAB" w:rsidP="008A6938">
            <w:pPr>
              <w:jc w:val="center"/>
            </w:pPr>
            <w:r>
              <w:t>Long term expectation 3%</w:t>
            </w:r>
          </w:p>
        </w:tc>
      </w:tr>
      <w:tr w:rsidR="003A0AAB" w:rsidTr="008A6938">
        <w:tc>
          <w:tcPr>
            <w:tcW w:w="4508" w:type="dxa"/>
            <w:vAlign w:val="center"/>
          </w:tcPr>
          <w:p w:rsidR="003A0AAB" w:rsidRPr="003A0AAB" w:rsidRDefault="003A0AAB" w:rsidP="008A6938">
            <w:pPr>
              <w:jc w:val="center"/>
            </w:pPr>
            <w:r>
              <w:t xml:space="preserve">D/E=0.17 </w:t>
            </w:r>
            <w:r>
              <w:sym w:font="Wingdings" w:char="F0E8"/>
            </w:r>
          </w:p>
        </w:tc>
        <w:tc>
          <w:tcPr>
            <w:tcW w:w="4508" w:type="dxa"/>
            <w:vAlign w:val="center"/>
          </w:tcPr>
          <w:p w:rsidR="003A0AAB" w:rsidRDefault="003A0AAB" w:rsidP="008A6938">
            <w:pPr>
              <w:jc w:val="center"/>
            </w:pPr>
            <w:r>
              <w:t>D/(D+E)=14.53%</w:t>
            </w:r>
          </w:p>
        </w:tc>
      </w:tr>
    </w:tbl>
    <w:p w:rsidR="003A0AAB" w:rsidRDefault="003A0AAB" w:rsidP="003A0AAB">
      <w:pPr>
        <w:jc w:val="both"/>
        <w:rPr>
          <w:i/>
        </w:rPr>
      </w:pPr>
    </w:p>
    <w:p w:rsidR="003A0AAB" w:rsidRPr="00A114B9" w:rsidRDefault="003A0AAB" w:rsidP="003A0AAB">
      <w:pPr>
        <w:jc w:val="both"/>
        <w:rPr>
          <w:i/>
        </w:rPr>
      </w:pPr>
      <w:r w:rsidRPr="00A114B9">
        <w:rPr>
          <w:i/>
        </w:rPr>
        <w:t>Relative Valuation</w:t>
      </w:r>
    </w:p>
    <w:p w:rsidR="003A0AAB" w:rsidRDefault="003A0AAB" w:rsidP="003A0AAB">
      <w:pPr>
        <w:jc w:val="both"/>
        <w:rPr>
          <w:i/>
        </w:rPr>
      </w:pPr>
      <w:r w:rsidRPr="000E1C9C">
        <w:rPr>
          <w:i/>
        </w:rPr>
        <w:t>Price Sales Ratio</w:t>
      </w:r>
    </w:p>
    <w:p w:rsidR="003A0AAB" w:rsidRPr="003A0AAB" w:rsidRDefault="00000000" w:rsidP="003A0AAB">
      <w:pPr>
        <w:jc w:val="both"/>
        <w:rPr>
          <w:rFonts w:eastAsiaTheme="minorEastAsia"/>
          <w:i/>
        </w:rPr>
      </w:pPr>
      <m:oMathPara>
        <m:oMath>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Snapchat</m:t>
              </m:r>
            </m:sub>
          </m:sSub>
          <m:r>
            <w:rPr>
              <w:rFonts w:ascii="Cambria Math" w:hAnsi="Cambria Math"/>
            </w:rPr>
            <m:t>=5.60&lt;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T</m:t>
              </m:r>
            </m:sub>
          </m:sSub>
          <m:r>
            <w:rPr>
              <w:rFonts w:ascii="Cambria Math" w:hAnsi="Cambria Math"/>
            </w:rPr>
            <m:t>&lt;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Facebook</m:t>
              </m:r>
            </m:sub>
          </m:sSub>
          <m:r>
            <w:rPr>
              <w:rFonts w:ascii="Cambria Math" w:hAnsi="Cambria Math"/>
            </w:rPr>
            <m:t>=7.40</m:t>
          </m:r>
        </m:oMath>
      </m:oMathPara>
    </w:p>
    <w:p w:rsidR="003A0AAB" w:rsidRPr="003A0AAB" w:rsidRDefault="003A0AAB" w:rsidP="003A0AAB">
      <w:pPr>
        <w:jc w:val="both"/>
        <w:rPr>
          <w:rFonts w:eastAsiaTheme="minorEastAsia"/>
          <w:i/>
        </w:rPr>
      </w:pPr>
      <m:oMathPara>
        <m:oMath>
          <m:r>
            <w:rPr>
              <w:rFonts w:ascii="Cambria Math" w:hAnsi="Cambria Math"/>
            </w:rPr>
            <m:t>$17.02b=3.04b x 5.60&lt;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&lt;7.40</m:t>
          </m:r>
          <m:r>
            <w:rPr>
              <w:rFonts w:ascii="Cambria Math" w:eastAsiaTheme="minorEastAsia" w:hAnsi="Cambria Math"/>
            </w:rPr>
            <m:t xml:space="preserve"> x 3.04=$22.50b</m:t>
          </m:r>
        </m:oMath>
      </m:oMathPara>
    </w:p>
    <w:p w:rsidR="003A0AAB" w:rsidRPr="003A0AAB" w:rsidRDefault="003A0AAB" w:rsidP="003A0AAB">
      <w:pPr>
        <w:jc w:val="both"/>
        <w:rPr>
          <w:rFonts w:eastAsiaTheme="minorEastAsia"/>
          <w:i/>
        </w:rPr>
      </w:pPr>
      <m:oMathPara>
        <m:oMath>
          <m:r>
            <w:rPr>
              <w:rFonts w:ascii="Cambria Math" w:hAnsi="Cambria Math"/>
            </w:rPr>
            <m:t>$22.26=</m:t>
          </m:r>
          <m:f>
            <m:fPr>
              <m:ctrlPr>
                <w:rPr>
                  <w:rFonts w:ascii="Cambria Math" w:hAnsi="Cambria Math"/>
                  <w:i/>
                </w:rPr>
              </m:ctrlPr>
            </m:fPr>
            <m:num>
              <m:r>
                <w:rPr>
                  <w:rFonts w:ascii="Cambria Math" w:hAnsi="Cambria Math"/>
                </w:rPr>
                <m:t>$17.02b</m:t>
              </m:r>
            </m:num>
            <m:den>
              <m:r>
                <w:rPr>
                  <w:rFonts w:ascii="Cambria Math" w:hAnsi="Cambria Math"/>
                </w:rPr>
                <m:t>772.69m</m:t>
              </m:r>
            </m:den>
          </m:f>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T, per share</m:t>
              </m:r>
            </m:sub>
          </m:sSub>
          <m:r>
            <w:rPr>
              <w:rFonts w:ascii="Cambria Math" w:hAnsi="Cambria Math"/>
            </w:rPr>
            <m:t>&lt;</m:t>
          </m:r>
          <m:f>
            <m:fPr>
              <m:ctrlPr>
                <w:rPr>
                  <w:rFonts w:ascii="Cambria Math" w:eastAsiaTheme="minorEastAsia" w:hAnsi="Cambria Math"/>
                  <w:i/>
                </w:rPr>
              </m:ctrlPr>
            </m:fPr>
            <m:num>
              <m:r>
                <w:rPr>
                  <w:rFonts w:ascii="Cambria Math" w:eastAsiaTheme="minorEastAsia" w:hAnsi="Cambria Math"/>
                </w:rPr>
                <m:t>$22.50b</m:t>
              </m:r>
            </m:num>
            <m:den>
              <m:r>
                <w:rPr>
                  <w:rFonts w:ascii="Cambria Math" w:eastAsiaTheme="minorEastAsia" w:hAnsi="Cambria Math"/>
                </w:rPr>
                <m:t>772.69m</m:t>
              </m:r>
            </m:den>
          </m:f>
          <m:r>
            <w:rPr>
              <w:rFonts w:ascii="Cambria Math" w:eastAsiaTheme="minorEastAsia" w:hAnsi="Cambria Math"/>
            </w:rPr>
            <m:t>=$29.12</m:t>
          </m:r>
        </m:oMath>
      </m:oMathPara>
    </w:p>
    <w:p w:rsidR="003A0AAB" w:rsidRDefault="003A0AAB" w:rsidP="003A0AAB">
      <w:pPr>
        <w:jc w:val="both"/>
      </w:pPr>
      <w:r w:rsidRPr="003A0AAB">
        <w:t xml:space="preserve">Unlike last year this valuation seems to be conservative with respect to </w:t>
      </w:r>
      <w:r>
        <w:t>what other investors believe. Facebook has had a rather tricky and eventful last year and that is reflected to all other valuations. However, as we have seen in 2017, Twitter starts being profitable. Comparing it to the average in the sector (defined by EIKON).</w:t>
      </w:r>
    </w:p>
    <w:p w:rsidR="003A0AAB" w:rsidRPr="003A0AAB" w:rsidRDefault="00000000" w:rsidP="003A0AAB">
      <w:pPr>
        <w:jc w:val="both"/>
        <w:rPr>
          <w:rFonts w:eastAsiaTheme="minorEastAsia"/>
          <w:i/>
        </w:rPr>
      </w:pPr>
      <m:oMathPara>
        <m:oMath>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median</m:t>
              </m:r>
            </m:sub>
          </m:sSub>
          <m:r>
            <w:rPr>
              <w:rFonts w:ascii="Cambria Math" w:hAnsi="Cambria Math"/>
            </w:rPr>
            <m:t>=2.22&lt;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T</m:t>
              </m:r>
            </m:sub>
          </m:sSub>
          <m:r>
            <w:rPr>
              <w:rFonts w:ascii="Cambria Math" w:hAnsi="Cambria Math"/>
            </w:rPr>
            <m:t>&lt;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average</m:t>
              </m:r>
            </m:sub>
          </m:sSub>
          <m:r>
            <w:rPr>
              <w:rFonts w:ascii="Cambria Math" w:hAnsi="Cambria Math"/>
            </w:rPr>
            <m:t>=6.01</m:t>
          </m:r>
        </m:oMath>
      </m:oMathPara>
    </w:p>
    <w:p w:rsidR="003A0AAB" w:rsidRPr="003A0AAB" w:rsidRDefault="003A0AAB" w:rsidP="003A0AAB">
      <w:pPr>
        <w:jc w:val="both"/>
        <w:rPr>
          <w:rFonts w:eastAsiaTheme="minorEastAsia"/>
          <w:i/>
        </w:rPr>
      </w:pPr>
      <m:oMathPara>
        <m:oMath>
          <m:r>
            <w:rPr>
              <w:rFonts w:ascii="Cambria Math" w:hAnsi="Cambria Math"/>
            </w:rPr>
            <m:t>$6.75b=3.04b x 2.22&lt;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&lt;6.01</m:t>
          </m:r>
          <m:r>
            <w:rPr>
              <w:rFonts w:ascii="Cambria Math" w:eastAsiaTheme="minorEastAsia" w:hAnsi="Cambria Math"/>
            </w:rPr>
            <m:t xml:space="preserve"> x 3.04=$18.27b</m:t>
          </m:r>
        </m:oMath>
      </m:oMathPara>
    </w:p>
    <w:p w:rsidR="003A0AAB" w:rsidRPr="003A0AAB" w:rsidRDefault="003A0AAB" w:rsidP="003A0AAB">
      <w:pPr>
        <w:jc w:val="both"/>
        <w:rPr>
          <w:rFonts w:eastAsiaTheme="minorEastAsia"/>
          <w:i/>
        </w:rPr>
      </w:pPr>
      <m:oMathPara>
        <m:oMath>
          <m:r>
            <w:rPr>
              <w:rFonts w:ascii="Cambria Math" w:hAnsi="Cambria Math"/>
            </w:rPr>
            <m:t>$8.73=</m:t>
          </m:r>
          <m:f>
            <m:fPr>
              <m:ctrlPr>
                <w:rPr>
                  <w:rFonts w:ascii="Cambria Math" w:hAnsi="Cambria Math"/>
                  <w:i/>
                </w:rPr>
              </m:ctrlPr>
            </m:fPr>
            <m:num>
              <m:r>
                <w:rPr>
                  <w:rFonts w:ascii="Cambria Math" w:hAnsi="Cambria Math"/>
                </w:rPr>
                <m:t>$6.75b</m:t>
              </m:r>
            </m:num>
            <m:den>
              <m:r>
                <w:rPr>
                  <w:rFonts w:ascii="Cambria Math" w:hAnsi="Cambria Math"/>
                </w:rPr>
                <m:t>772.69m</m:t>
              </m:r>
            </m:den>
          </m:f>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T, per share</m:t>
              </m:r>
            </m:sub>
          </m:sSub>
          <m:r>
            <w:rPr>
              <w:rFonts w:ascii="Cambria Math" w:hAnsi="Cambria Math"/>
            </w:rPr>
            <m:t>&lt;</m:t>
          </m:r>
          <m:f>
            <m:fPr>
              <m:ctrlPr>
                <w:rPr>
                  <w:rFonts w:ascii="Cambria Math" w:eastAsiaTheme="minorEastAsia" w:hAnsi="Cambria Math"/>
                  <w:i/>
                </w:rPr>
              </m:ctrlPr>
            </m:fPr>
            <m:num>
              <m:r>
                <w:rPr>
                  <w:rFonts w:ascii="Cambria Math" w:eastAsiaTheme="minorEastAsia" w:hAnsi="Cambria Math"/>
                </w:rPr>
                <m:t>$22.50b</m:t>
              </m:r>
            </m:num>
            <m:den>
              <m:r>
                <w:rPr>
                  <w:rFonts w:ascii="Cambria Math" w:eastAsiaTheme="minorEastAsia" w:hAnsi="Cambria Math"/>
                </w:rPr>
                <m:t>772.69m</m:t>
              </m:r>
            </m:den>
          </m:f>
          <m:r>
            <w:rPr>
              <w:rFonts w:ascii="Cambria Math" w:eastAsiaTheme="minorEastAsia" w:hAnsi="Cambria Math"/>
            </w:rPr>
            <m:t>=$23.65</m:t>
          </m:r>
        </m:oMath>
      </m:oMathPara>
    </w:p>
    <w:p w:rsidR="003A0AAB" w:rsidRDefault="003A0AAB" w:rsidP="003A0AAB">
      <w:pPr>
        <w:jc w:val="both"/>
      </w:pPr>
      <w:r>
        <w:t xml:space="preserve">Again, this valuation seems to be rather conservative. This happens either because the market does not evaluate these stocks based on sales or because Twitter has changed </w:t>
      </w:r>
      <w:r w:rsidR="00DC1243">
        <w:t>drastically</w:t>
      </w:r>
      <w:r>
        <w:t xml:space="preserve"> its ranking. Most likely the first.</w:t>
      </w:r>
    </w:p>
    <w:p w:rsidR="003A0AAB" w:rsidRDefault="003A0AAB" w:rsidP="003A0AAB">
      <w:pPr>
        <w:jc w:val="both"/>
        <w:rPr>
          <w:i/>
        </w:rPr>
      </w:pPr>
      <w:r>
        <w:t xml:space="preserve"> </w:t>
      </w:r>
      <w:r w:rsidRPr="000E1C9C">
        <w:rPr>
          <w:i/>
        </w:rPr>
        <w:t xml:space="preserve">Price </w:t>
      </w:r>
      <w:r>
        <w:rPr>
          <w:i/>
        </w:rPr>
        <w:t>MAU</w:t>
      </w:r>
    </w:p>
    <w:p w:rsidR="003A0AAB" w:rsidRPr="003A0AAB" w:rsidRDefault="00000000" w:rsidP="003A0AAB">
      <w:pPr>
        <w:jc w:val="both"/>
        <w:rPr>
          <w:rFonts w:eastAsiaTheme="minorEastAsia"/>
          <w:i/>
        </w:rPr>
      </w:pPr>
      <m:oMathPara>
        <m:oMath>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MAU</m:t>
                  </m:r>
                </m:den>
              </m:f>
            </m:e>
            <m:sub>
              <m:r>
                <w:rPr>
                  <w:rFonts w:ascii="Cambria Math" w:hAnsi="Cambria Math"/>
                </w:rPr>
                <m:t>Snapchat</m:t>
              </m:r>
            </m:sub>
          </m:sSub>
          <m:r>
            <w:rPr>
              <w:rFonts w:ascii="Cambria Math" w:hAnsi="Cambria Math"/>
            </w:rPr>
            <m:t>=</m:t>
          </m:r>
          <m:f>
            <m:fPr>
              <m:ctrlPr>
                <w:rPr>
                  <w:rFonts w:ascii="Cambria Math" w:hAnsi="Cambria Math"/>
                  <w:i/>
                </w:rPr>
              </m:ctrlPr>
            </m:fPr>
            <m:num>
              <m:r>
                <w:rPr>
                  <w:rFonts w:ascii="Cambria Math" w:hAnsi="Cambria Math"/>
                </w:rPr>
                <m:t>$14.04b</m:t>
              </m:r>
            </m:num>
            <m:den>
              <m:r>
                <w:rPr>
                  <w:rFonts w:ascii="Cambria Math" w:hAnsi="Cambria Math"/>
                </w:rPr>
                <m:t>301m</m:t>
              </m:r>
            </m:den>
          </m:f>
          <m:r>
            <w:rPr>
              <w:rFonts w:ascii="Cambria Math" w:hAnsi="Cambria Math"/>
            </w:rPr>
            <m:t>=46.64&lt;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MAU</m:t>
                  </m:r>
                </m:den>
              </m:f>
            </m:e>
            <m:sub>
              <m:r>
                <w:rPr>
                  <w:rFonts w:ascii="Cambria Math" w:hAnsi="Cambria Math"/>
                </w:rPr>
                <m:t>T</m:t>
              </m:r>
            </m:sub>
          </m:sSub>
          <m:r>
            <w:rPr>
              <w:rFonts w:ascii="Cambria Math" w:hAnsi="Cambria Math"/>
            </w:rPr>
            <m:t>&lt;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MAU</m:t>
                  </m:r>
                </m:den>
              </m:f>
            </m:e>
            <m:sub>
              <m:r>
                <w:rPr>
                  <w:rFonts w:ascii="Cambria Math" w:hAnsi="Cambria Math"/>
                </w:rPr>
                <m:t>Facebook</m:t>
              </m:r>
            </m:sub>
          </m:sSub>
          <m:r>
            <w:rPr>
              <w:rFonts w:ascii="Cambria Math" w:hAnsi="Cambria Math"/>
            </w:rPr>
            <m:t>=</m:t>
          </m:r>
          <m:f>
            <m:fPr>
              <m:ctrlPr>
                <w:rPr>
                  <w:rFonts w:ascii="Cambria Math" w:hAnsi="Cambria Math"/>
                  <w:i/>
                </w:rPr>
              </m:ctrlPr>
            </m:fPr>
            <m:num>
              <m:r>
                <w:rPr>
                  <w:rFonts w:ascii="Cambria Math" w:hAnsi="Cambria Math"/>
                </w:rPr>
                <m:t>$461.12b</m:t>
              </m:r>
            </m:num>
            <m:den>
              <m:r>
                <w:rPr>
                  <w:rFonts w:ascii="Cambria Math" w:hAnsi="Cambria Math"/>
                </w:rPr>
                <m:t>2.32b</m:t>
              </m:r>
            </m:den>
          </m:f>
          <m:r>
            <w:rPr>
              <w:rFonts w:ascii="Cambria Math" w:hAnsi="Cambria Math"/>
            </w:rPr>
            <m:t>=198.76</m:t>
          </m:r>
        </m:oMath>
      </m:oMathPara>
    </w:p>
    <w:p w:rsidR="003A0AAB" w:rsidRPr="003A0AAB" w:rsidRDefault="003A0AAB" w:rsidP="003A0AAB">
      <w:pPr>
        <w:jc w:val="both"/>
        <w:rPr>
          <w:rFonts w:eastAsiaTheme="minorEastAsia"/>
          <w:i/>
        </w:rPr>
      </w:pPr>
      <m:oMathPara>
        <m:oMath>
          <m:r>
            <w:rPr>
              <w:rFonts w:ascii="Cambria Math" w:hAnsi="Cambria Math"/>
            </w:rPr>
            <m:t>$15.20b=326m x 46.64&lt;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&lt;</m:t>
          </m:r>
          <m:r>
            <w:rPr>
              <w:rFonts w:ascii="Cambria Math" w:eastAsiaTheme="minorEastAsia" w:hAnsi="Cambria Math"/>
            </w:rPr>
            <m:t>198.76 x 326m=$64.80b</m:t>
          </m:r>
        </m:oMath>
      </m:oMathPara>
    </w:p>
    <w:p w:rsidR="003A0AAB" w:rsidRPr="003A0AAB" w:rsidRDefault="003A0AAB" w:rsidP="003A0AAB">
      <w:pPr>
        <w:jc w:val="both"/>
        <w:rPr>
          <w:rFonts w:eastAsiaTheme="minorEastAsia"/>
          <w:i/>
        </w:rPr>
      </w:pPr>
      <m:oMathPara>
        <m:oMath>
          <m:r>
            <w:rPr>
              <w:rFonts w:ascii="Cambria Math" w:hAnsi="Cambria Math"/>
            </w:rPr>
            <m:t>$19.68=</m:t>
          </m:r>
          <m:f>
            <m:fPr>
              <m:ctrlPr>
                <w:rPr>
                  <w:rFonts w:ascii="Cambria Math" w:hAnsi="Cambria Math"/>
                  <w:i/>
                </w:rPr>
              </m:ctrlPr>
            </m:fPr>
            <m:num>
              <m:r>
                <w:rPr>
                  <w:rFonts w:ascii="Cambria Math" w:hAnsi="Cambria Math"/>
                </w:rPr>
                <m:t>$17.02b</m:t>
              </m:r>
            </m:num>
            <m:den>
              <m:r>
                <w:rPr>
                  <w:rFonts w:ascii="Cambria Math" w:hAnsi="Cambria Math"/>
                </w:rPr>
                <m:t>772.69m</m:t>
              </m:r>
            </m:den>
          </m:f>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T, per share</m:t>
              </m:r>
            </m:sub>
          </m:sSub>
          <m:r>
            <w:rPr>
              <w:rFonts w:ascii="Cambria Math" w:hAnsi="Cambria Math"/>
            </w:rPr>
            <m:t>&lt;</m:t>
          </m:r>
          <m:f>
            <m:fPr>
              <m:ctrlPr>
                <w:rPr>
                  <w:rFonts w:ascii="Cambria Math" w:eastAsiaTheme="minorEastAsia" w:hAnsi="Cambria Math"/>
                  <w:i/>
                </w:rPr>
              </m:ctrlPr>
            </m:fPr>
            <m:num>
              <m:r>
                <w:rPr>
                  <w:rFonts w:ascii="Cambria Math" w:eastAsiaTheme="minorEastAsia" w:hAnsi="Cambria Math"/>
                </w:rPr>
                <m:t>$22.50b</m:t>
              </m:r>
            </m:num>
            <m:den>
              <m:r>
                <w:rPr>
                  <w:rFonts w:ascii="Cambria Math" w:eastAsiaTheme="minorEastAsia" w:hAnsi="Cambria Math"/>
                </w:rPr>
                <m:t>772.69m</m:t>
              </m:r>
            </m:den>
          </m:f>
          <m:r>
            <w:rPr>
              <w:rFonts w:ascii="Cambria Math" w:eastAsiaTheme="minorEastAsia" w:hAnsi="Cambria Math"/>
            </w:rPr>
            <m:t>=$83.86</m:t>
          </m:r>
        </m:oMath>
      </m:oMathPara>
    </w:p>
    <w:p w:rsidR="003A0AAB" w:rsidRPr="003A0AAB" w:rsidRDefault="003A0AAB" w:rsidP="003A0AAB">
      <w:pPr>
        <w:jc w:val="both"/>
        <w:rPr>
          <w:rFonts w:eastAsiaTheme="minorEastAsia"/>
          <w:i/>
        </w:rPr>
      </w:pPr>
      <m:oMathPara>
        <m:oMath>
          <m:r>
            <w:rPr>
              <w:rFonts w:ascii="Cambria Math" w:eastAsiaTheme="minorEastAsia" w:hAnsi="Cambria Math"/>
            </w:rPr>
            <m:t>Average=$51.77</m:t>
          </m:r>
        </m:oMath>
      </m:oMathPara>
    </w:p>
    <w:p w:rsidR="003A0AAB" w:rsidRDefault="003A0AAB" w:rsidP="003A0AAB">
      <w:pPr>
        <w:jc w:val="both"/>
      </w:pPr>
      <w:r>
        <w:t>This price is again rather far from the market price and most likely it does not reflect the fundamentals. We can also check the Regressions taken from Damodaran.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78"/>
      </w:tblGrid>
      <w:tr w:rsidR="003A0AAB" w:rsidRPr="00286CD1" w:rsidTr="008A6938">
        <w:trPr>
          <w:jc w:val="center"/>
        </w:trPr>
        <w:tc>
          <w:tcPr>
            <w:tcW w:w="7578" w:type="dxa"/>
            <w:tcBorders>
              <w:top w:val="single" w:sz="4" w:space="0" w:color="auto"/>
              <w:left w:val="single" w:sz="4" w:space="0" w:color="auto"/>
              <w:bottom w:val="single" w:sz="4" w:space="0" w:color="auto"/>
              <w:right w:val="single" w:sz="4" w:space="0" w:color="auto"/>
            </w:tcBorders>
            <w:hideMark/>
          </w:tcPr>
          <w:p w:rsidR="003A0AAB" w:rsidRPr="00286CD1" w:rsidRDefault="003A0AAB" w:rsidP="008A6938">
            <w:pPr>
              <w:spacing w:after="0" w:line="240" w:lineRule="auto"/>
              <w:jc w:val="center"/>
              <w:rPr>
                <w:rFonts w:ascii="Times New Roman" w:eastAsia="Times New Roman" w:hAnsi="Times New Roman" w:cs="Times New Roman"/>
                <w:sz w:val="24"/>
                <w:szCs w:val="24"/>
              </w:rPr>
            </w:pPr>
            <w:r w:rsidRPr="00286CD1">
              <w:rPr>
                <w:rFonts w:ascii="Times New Roman" w:eastAsia="Times New Roman" w:hAnsi="Times New Roman" w:cs="Times New Roman"/>
                <w:i/>
                <w:sz w:val="24"/>
                <w:szCs w:val="24"/>
              </w:rPr>
              <w:t>Regression</w:t>
            </w:r>
          </w:p>
        </w:tc>
      </w:tr>
      <w:tr w:rsidR="003A0AAB" w:rsidRPr="00286CD1" w:rsidTr="008A6938">
        <w:trPr>
          <w:jc w:val="center"/>
        </w:trPr>
        <w:tc>
          <w:tcPr>
            <w:tcW w:w="7578" w:type="dxa"/>
            <w:tcBorders>
              <w:top w:val="single" w:sz="4" w:space="0" w:color="auto"/>
              <w:left w:val="single" w:sz="4" w:space="0" w:color="auto"/>
              <w:bottom w:val="single" w:sz="4" w:space="0" w:color="auto"/>
              <w:right w:val="single" w:sz="4" w:space="0" w:color="auto"/>
            </w:tcBorders>
            <w:hideMark/>
          </w:tcPr>
          <w:p w:rsidR="003A0AAB" w:rsidRPr="003A0AAB" w:rsidRDefault="003A0AAB" w:rsidP="003A0AAB">
            <w:pPr>
              <w:tabs>
                <w:tab w:val="left" w:pos="1664"/>
              </w:tabs>
              <w:spacing w:before="100" w:beforeAutospacing="1" w:after="100" w:afterAutospacing="1" w:line="240" w:lineRule="auto"/>
              <w:contextualSpacing/>
              <w:rPr>
                <w:rFonts w:ascii="Times New Roman" w:eastAsia="Times New Roman" w:hAnsi="Times New Roman" w:cs="Times New Roman"/>
                <w:sz w:val="24"/>
                <w:szCs w:val="24"/>
                <w:lang w:val="fr-FR" w:eastAsia="fr-FR"/>
              </w:rPr>
            </w:pPr>
            <w:r w:rsidRPr="003A0AAB">
              <w:rPr>
                <w:rFonts w:ascii="Times New Roman" w:eastAsia="Times New Roman" w:hAnsi="Times New Roman" w:cs="Times New Roman"/>
                <w:sz w:val="24"/>
                <w:szCs w:val="24"/>
                <w:lang w:val="fr-FR" w:eastAsia="fr-FR"/>
              </w:rPr>
              <w:t>PE = 4.20 + 149.0 g</w:t>
            </w:r>
            <w:r w:rsidRPr="003A0AAB">
              <w:rPr>
                <w:rFonts w:ascii="Times New Roman" w:eastAsia="Times New Roman" w:hAnsi="Times New Roman" w:cs="Times New Roman"/>
                <w:sz w:val="24"/>
                <w:szCs w:val="24"/>
                <w:vertAlign w:val="subscript"/>
                <w:lang w:val="fr-FR" w:eastAsia="fr-FR"/>
              </w:rPr>
              <w:t>EPS</w:t>
            </w:r>
            <w:r w:rsidRPr="003A0AAB">
              <w:rPr>
                <w:rFonts w:ascii="Times New Roman" w:eastAsia="Times New Roman" w:hAnsi="Times New Roman" w:cs="Times New Roman"/>
                <w:sz w:val="24"/>
                <w:szCs w:val="24"/>
                <w:lang w:val="fr-FR" w:eastAsia="fr-FR"/>
              </w:rPr>
              <w:t xml:space="preserve"> + 13.40 Payout - 2.86 Beta </w:t>
            </w:r>
          </w:p>
          <w:p w:rsidR="003A0AAB" w:rsidRPr="003A0AAB" w:rsidRDefault="003A0AAB" w:rsidP="003A0AAB">
            <w:pPr>
              <w:tabs>
                <w:tab w:val="left" w:pos="1664"/>
              </w:tabs>
              <w:spacing w:before="100" w:beforeAutospacing="1" w:after="100" w:afterAutospacing="1" w:line="240" w:lineRule="auto"/>
              <w:contextualSpacing/>
              <w:rPr>
                <w:rFonts w:ascii="Times New Roman" w:eastAsia="Times New Roman" w:hAnsi="Times New Roman" w:cs="Times New Roman"/>
                <w:sz w:val="24"/>
                <w:szCs w:val="24"/>
                <w:lang w:val="fr-FR" w:eastAsia="fr-FR"/>
              </w:rPr>
            </w:pPr>
            <w:r w:rsidRPr="003A0AAB">
              <w:rPr>
                <w:rFonts w:ascii="Times New Roman" w:eastAsia="Times New Roman" w:hAnsi="Times New Roman" w:cs="Times New Roman"/>
                <w:sz w:val="24"/>
                <w:szCs w:val="24"/>
                <w:lang w:val="fr-FR" w:eastAsia="fr-FR"/>
              </w:rPr>
              <w:t xml:space="preserve">        (3.35)   (26.82)      (18.50)            (2.93) </w:t>
            </w:r>
          </w:p>
        </w:tc>
      </w:tr>
      <w:tr w:rsidR="003A0AAB" w:rsidRPr="00286CD1" w:rsidTr="008A6938">
        <w:trPr>
          <w:jc w:val="center"/>
        </w:trPr>
        <w:tc>
          <w:tcPr>
            <w:tcW w:w="7578" w:type="dxa"/>
            <w:tcBorders>
              <w:top w:val="single" w:sz="4" w:space="0" w:color="auto"/>
              <w:left w:val="single" w:sz="4" w:space="0" w:color="auto"/>
              <w:bottom w:val="single" w:sz="4" w:space="0" w:color="auto"/>
              <w:right w:val="single" w:sz="4" w:space="0" w:color="auto"/>
            </w:tcBorders>
            <w:hideMark/>
          </w:tcPr>
          <w:p w:rsidR="003A0AAB" w:rsidRPr="003A0AAB" w:rsidRDefault="003A0AAB" w:rsidP="003A0AAB">
            <w:pPr>
              <w:spacing w:before="100" w:beforeAutospacing="1" w:after="100" w:afterAutospacing="1" w:line="240" w:lineRule="auto"/>
              <w:contextualSpacing/>
              <w:rPr>
                <w:rFonts w:ascii="Times New Roman" w:eastAsia="Times New Roman" w:hAnsi="Times New Roman" w:cs="Times New Roman"/>
                <w:sz w:val="24"/>
                <w:szCs w:val="24"/>
                <w:lang w:eastAsia="fr-FR"/>
              </w:rPr>
            </w:pPr>
            <w:r w:rsidRPr="003A0AAB">
              <w:rPr>
                <w:rFonts w:ascii="Times New Roman" w:eastAsia="Times New Roman" w:hAnsi="Times New Roman" w:cs="Times New Roman"/>
                <w:sz w:val="24"/>
                <w:szCs w:val="24"/>
                <w:lang w:eastAsia="fr-FR"/>
              </w:rPr>
              <w:t>PS= 0.31+0.04 Payout + 9.17 g</w:t>
            </w:r>
            <w:r w:rsidRPr="003A0AAB">
              <w:rPr>
                <w:rFonts w:ascii="Times New Roman" w:eastAsia="Times New Roman" w:hAnsi="Times New Roman" w:cs="Times New Roman"/>
                <w:sz w:val="24"/>
                <w:szCs w:val="24"/>
                <w:vertAlign w:val="subscript"/>
                <w:lang w:eastAsia="fr-FR"/>
              </w:rPr>
              <w:t xml:space="preserve">EPS </w:t>
            </w:r>
            <w:r w:rsidRPr="003A0AAB">
              <w:rPr>
                <w:rFonts w:ascii="Times New Roman" w:eastAsia="Times New Roman" w:hAnsi="Times New Roman" w:cs="Times New Roman"/>
                <w:sz w:val="24"/>
                <w:szCs w:val="24"/>
                <w:lang w:eastAsia="fr-FR"/>
              </w:rPr>
              <w:t xml:space="preserve">- 0.47 Beta + 12.60 Net Margin </w:t>
            </w:r>
          </w:p>
          <w:p w:rsidR="003A0AAB" w:rsidRPr="003A0AAB" w:rsidRDefault="003A0AAB" w:rsidP="003A0AAB">
            <w:pPr>
              <w:spacing w:before="100" w:beforeAutospacing="1" w:after="100" w:afterAutospacing="1" w:line="240" w:lineRule="auto"/>
              <w:contextualSpacing/>
              <w:rPr>
                <w:rFonts w:ascii="Times New Roman" w:eastAsia="Times New Roman" w:hAnsi="Times New Roman" w:cs="Times New Roman"/>
                <w:sz w:val="24"/>
                <w:szCs w:val="24"/>
                <w:lang w:val="fr-FR" w:eastAsia="fr-FR"/>
              </w:rPr>
            </w:pPr>
            <w:r w:rsidRPr="003A0AAB">
              <w:rPr>
                <w:rFonts w:ascii="Times New Roman" w:eastAsia="Times New Roman" w:hAnsi="Times New Roman" w:cs="Times New Roman"/>
                <w:sz w:val="24"/>
                <w:szCs w:val="24"/>
                <w:lang w:eastAsia="fr-FR"/>
              </w:rPr>
              <w:t xml:space="preserve">       </w:t>
            </w:r>
            <w:r w:rsidRPr="003A0AAB">
              <w:rPr>
                <w:rFonts w:ascii="Times New Roman" w:eastAsia="Times New Roman" w:hAnsi="Times New Roman" w:cs="Times New Roman"/>
                <w:sz w:val="24"/>
                <w:szCs w:val="24"/>
                <w:lang w:val="fr-FR" w:eastAsia="fr-FR"/>
              </w:rPr>
              <w:t>(2.88)     (4.70)        (19.58)    (4.54)       (37.00)</w:t>
            </w:r>
          </w:p>
        </w:tc>
      </w:tr>
    </w:tbl>
    <w:p w:rsidR="003A0AAB" w:rsidRDefault="003A0AAB" w:rsidP="003A0AAB">
      <w:pPr>
        <w:jc w:val="both"/>
        <w:rPr>
          <w:rFonts w:eastAsiaTheme="minorEastAsia"/>
        </w:rPr>
      </w:pPr>
      <w:r>
        <w:rPr>
          <w:rFonts w:eastAsiaTheme="minorEastAsia"/>
        </w:rPr>
        <w:t>Consequently, for Twitter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57"/>
        <w:gridCol w:w="1275"/>
        <w:gridCol w:w="1134"/>
        <w:gridCol w:w="1650"/>
      </w:tblGrid>
      <w:tr w:rsidR="003A0AAB" w:rsidRPr="00286CD1" w:rsidTr="008A6938">
        <w:trPr>
          <w:jc w:val="center"/>
        </w:trPr>
        <w:tc>
          <w:tcPr>
            <w:tcW w:w="4957" w:type="dxa"/>
            <w:tcBorders>
              <w:top w:val="single" w:sz="4" w:space="0" w:color="auto"/>
              <w:left w:val="single" w:sz="4" w:space="0" w:color="auto"/>
              <w:bottom w:val="single" w:sz="4" w:space="0" w:color="auto"/>
              <w:right w:val="single" w:sz="4" w:space="0" w:color="auto"/>
            </w:tcBorders>
            <w:hideMark/>
          </w:tcPr>
          <w:p w:rsidR="003A0AAB" w:rsidRPr="00286CD1" w:rsidRDefault="003A0AAB" w:rsidP="008A6938">
            <w:pPr>
              <w:spacing w:after="0" w:line="240" w:lineRule="auto"/>
              <w:jc w:val="center"/>
              <w:rPr>
                <w:rFonts w:ascii="Times New Roman" w:eastAsia="Times New Roman" w:hAnsi="Times New Roman" w:cs="Times New Roman"/>
                <w:sz w:val="24"/>
                <w:szCs w:val="24"/>
              </w:rPr>
            </w:pPr>
            <w:r w:rsidRPr="00286CD1">
              <w:rPr>
                <w:rFonts w:ascii="Times New Roman" w:eastAsia="Times New Roman" w:hAnsi="Times New Roman" w:cs="Times New Roman"/>
                <w:i/>
                <w:sz w:val="24"/>
                <w:szCs w:val="24"/>
              </w:rPr>
              <w:t>Regression</w:t>
            </w:r>
          </w:p>
        </w:tc>
        <w:tc>
          <w:tcPr>
            <w:tcW w:w="1275" w:type="dxa"/>
            <w:tcBorders>
              <w:top w:val="single" w:sz="4" w:space="0" w:color="auto"/>
              <w:left w:val="single" w:sz="4" w:space="0" w:color="auto"/>
              <w:bottom w:val="single" w:sz="4" w:space="0" w:color="auto"/>
              <w:right w:val="single" w:sz="4" w:space="0" w:color="auto"/>
            </w:tcBorders>
            <w:vAlign w:val="center"/>
          </w:tcPr>
          <w:p w:rsidR="003A0AAB" w:rsidRPr="00286CD1" w:rsidRDefault="003A0AAB" w:rsidP="008A693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Multiple</w:t>
            </w:r>
          </w:p>
        </w:tc>
        <w:tc>
          <w:tcPr>
            <w:tcW w:w="1134" w:type="dxa"/>
            <w:tcBorders>
              <w:top w:val="single" w:sz="4" w:space="0" w:color="auto"/>
              <w:left w:val="single" w:sz="4" w:space="0" w:color="auto"/>
              <w:bottom w:val="single" w:sz="4" w:space="0" w:color="auto"/>
              <w:right w:val="single" w:sz="4" w:space="0" w:color="auto"/>
            </w:tcBorders>
            <w:vAlign w:val="center"/>
          </w:tcPr>
          <w:p w:rsidR="003A0AAB" w:rsidRDefault="003A0AAB" w:rsidP="008A693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Item</w:t>
            </w:r>
          </w:p>
        </w:tc>
        <w:tc>
          <w:tcPr>
            <w:tcW w:w="1650" w:type="dxa"/>
            <w:tcBorders>
              <w:top w:val="single" w:sz="4" w:space="0" w:color="auto"/>
              <w:left w:val="single" w:sz="4" w:space="0" w:color="auto"/>
              <w:bottom w:val="single" w:sz="4" w:space="0" w:color="auto"/>
              <w:right w:val="single" w:sz="4" w:space="0" w:color="auto"/>
            </w:tcBorders>
            <w:vAlign w:val="center"/>
          </w:tcPr>
          <w:p w:rsidR="003A0AAB" w:rsidRPr="00286CD1" w:rsidRDefault="003A0AAB" w:rsidP="008A693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Price</w:t>
            </w:r>
          </w:p>
        </w:tc>
      </w:tr>
      <w:tr w:rsidR="003A0AAB" w:rsidRPr="00286CD1" w:rsidTr="008A6938">
        <w:trPr>
          <w:jc w:val="center"/>
        </w:trPr>
        <w:tc>
          <w:tcPr>
            <w:tcW w:w="4957" w:type="dxa"/>
            <w:tcBorders>
              <w:top w:val="single" w:sz="4" w:space="0" w:color="auto"/>
              <w:left w:val="single" w:sz="4" w:space="0" w:color="auto"/>
              <w:bottom w:val="single" w:sz="4" w:space="0" w:color="auto"/>
              <w:right w:val="single" w:sz="4" w:space="0" w:color="auto"/>
            </w:tcBorders>
            <w:hideMark/>
          </w:tcPr>
          <w:p w:rsidR="003A0AAB" w:rsidRDefault="003A0AAB" w:rsidP="008A6938">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PE </w:t>
            </w:r>
          </w:p>
          <w:p w:rsidR="003A0AAB" w:rsidRPr="00286CD1" w:rsidRDefault="003A0AAB" w:rsidP="003A0AAB">
            <w:pPr>
              <w:tabs>
                <w:tab w:val="left" w:pos="1664"/>
              </w:tabs>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4.20 + 149.0 </w:t>
            </w:r>
            <w:r>
              <w:rPr>
                <w:rFonts w:ascii="Times New Roman" w:eastAsia="Times New Roman" w:hAnsi="Times New Roman" w:cs="Times New Roman"/>
                <w:sz w:val="24"/>
                <w:szCs w:val="24"/>
              </w:rPr>
              <w:t>x 0.35</w:t>
            </w:r>
            <w:r w:rsidRPr="00286CD1">
              <w:rPr>
                <w:rFonts w:ascii="Times New Roman" w:eastAsia="Times New Roman" w:hAnsi="Times New Roman" w:cs="Times New Roman"/>
                <w:sz w:val="24"/>
                <w:szCs w:val="24"/>
              </w:rPr>
              <w:t xml:space="preserve"> + 13.40 </w:t>
            </w:r>
            <w:r>
              <w:rPr>
                <w:rFonts w:ascii="Times New Roman" w:eastAsia="Times New Roman" w:hAnsi="Times New Roman" w:cs="Times New Roman"/>
                <w:sz w:val="24"/>
                <w:szCs w:val="24"/>
              </w:rPr>
              <w:t>x 0</w:t>
            </w:r>
            <w:r w:rsidRPr="00286CD1">
              <w:rPr>
                <w:rFonts w:ascii="Times New Roman" w:eastAsia="Times New Roman" w:hAnsi="Times New Roman" w:cs="Times New Roman"/>
                <w:sz w:val="24"/>
                <w:szCs w:val="24"/>
              </w:rPr>
              <w:t xml:space="preserve"> - 2.86 </w:t>
            </w:r>
            <w:r>
              <w:rPr>
                <w:rFonts w:ascii="Times New Roman" w:eastAsia="Times New Roman" w:hAnsi="Times New Roman" w:cs="Times New Roman"/>
                <w:sz w:val="24"/>
                <w:szCs w:val="24"/>
              </w:rPr>
              <w:t>x 1.72</w:t>
            </w:r>
          </w:p>
        </w:tc>
        <w:tc>
          <w:tcPr>
            <w:tcW w:w="1275" w:type="dxa"/>
            <w:tcBorders>
              <w:top w:val="single" w:sz="4" w:space="0" w:color="auto"/>
              <w:left w:val="single" w:sz="4" w:space="0" w:color="auto"/>
              <w:bottom w:val="single" w:sz="4" w:space="0" w:color="auto"/>
              <w:right w:val="single" w:sz="4" w:space="0" w:color="auto"/>
            </w:tcBorders>
            <w:vAlign w:val="center"/>
          </w:tcPr>
          <w:p w:rsidR="003A0AAB" w:rsidRPr="00286CD1" w:rsidRDefault="003A0AAB" w:rsidP="008A6938">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51.43</w:t>
            </w:r>
          </w:p>
        </w:tc>
        <w:tc>
          <w:tcPr>
            <w:tcW w:w="1134" w:type="dxa"/>
            <w:tcBorders>
              <w:top w:val="single" w:sz="4" w:space="0" w:color="auto"/>
              <w:left w:val="single" w:sz="4" w:space="0" w:color="auto"/>
              <w:bottom w:val="single" w:sz="4" w:space="0" w:color="auto"/>
              <w:right w:val="single" w:sz="4" w:space="0" w:color="auto"/>
            </w:tcBorders>
            <w:vAlign w:val="center"/>
          </w:tcPr>
          <w:p w:rsidR="003A0AAB" w:rsidRDefault="003A0AAB" w:rsidP="008A6938">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Earnings</w:t>
            </w:r>
          </w:p>
          <w:p w:rsidR="003A0AAB" w:rsidRDefault="003A0AAB" w:rsidP="003A0AAB">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650" w:type="dxa"/>
            <w:tcBorders>
              <w:top w:val="single" w:sz="4" w:space="0" w:color="auto"/>
              <w:left w:val="single" w:sz="4" w:space="0" w:color="auto"/>
              <w:bottom w:val="single" w:sz="4" w:space="0" w:color="auto"/>
              <w:right w:val="single" w:sz="4" w:space="0" w:color="auto"/>
            </w:tcBorders>
            <w:vAlign w:val="center"/>
          </w:tcPr>
          <w:p w:rsidR="003A0AAB" w:rsidRDefault="003A0AAB" w:rsidP="003A0AAB">
            <w:pPr>
              <w:tabs>
                <w:tab w:val="left" w:pos="1664"/>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$41.67</w:t>
            </w:r>
          </w:p>
        </w:tc>
      </w:tr>
      <w:tr w:rsidR="003A0AAB" w:rsidRPr="00286CD1" w:rsidTr="008A6938">
        <w:trPr>
          <w:jc w:val="center"/>
        </w:trPr>
        <w:tc>
          <w:tcPr>
            <w:tcW w:w="4957" w:type="dxa"/>
            <w:tcBorders>
              <w:top w:val="single" w:sz="4" w:space="0" w:color="auto"/>
              <w:left w:val="single" w:sz="4" w:space="0" w:color="auto"/>
              <w:bottom w:val="single" w:sz="4" w:space="0" w:color="auto"/>
              <w:right w:val="single" w:sz="4" w:space="0" w:color="auto"/>
            </w:tcBorders>
            <w:hideMark/>
          </w:tcPr>
          <w:p w:rsidR="003A0AAB" w:rsidRDefault="003A0AAB" w:rsidP="008A6938">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PS</w:t>
            </w:r>
          </w:p>
          <w:p w:rsidR="003A0AAB" w:rsidRPr="00286CD1" w:rsidRDefault="003A0AAB" w:rsidP="003A0AAB">
            <w:pPr>
              <w:spacing w:after="0" w:line="240" w:lineRule="auto"/>
              <w:rPr>
                <w:rFonts w:ascii="Times New Roman" w:eastAsia="Times New Roman" w:hAnsi="Times New Roman" w:cs="Times New Roman"/>
                <w:sz w:val="24"/>
                <w:szCs w:val="24"/>
              </w:rPr>
            </w:pPr>
            <w:r w:rsidRPr="00286CD1">
              <w:rPr>
                <w:rFonts w:ascii="Times New Roman" w:eastAsia="Times New Roman" w:hAnsi="Times New Roman" w:cs="Times New Roman"/>
                <w:sz w:val="24"/>
                <w:szCs w:val="24"/>
              </w:rPr>
              <w:t xml:space="preserve">= 0.31+0.04 </w:t>
            </w:r>
            <w:r>
              <w:rPr>
                <w:rFonts w:ascii="Times New Roman" w:eastAsia="Times New Roman" w:hAnsi="Times New Roman" w:cs="Times New Roman"/>
                <w:sz w:val="24"/>
                <w:szCs w:val="24"/>
              </w:rPr>
              <w:t>x 0</w:t>
            </w:r>
            <w:r w:rsidRPr="00286CD1">
              <w:rPr>
                <w:rFonts w:ascii="Times New Roman" w:eastAsia="Times New Roman" w:hAnsi="Times New Roman" w:cs="Times New Roman"/>
                <w:sz w:val="24"/>
                <w:szCs w:val="24"/>
              </w:rPr>
              <w:t xml:space="preserve"> + 9.17 </w:t>
            </w:r>
            <w:r>
              <w:rPr>
                <w:rFonts w:ascii="Times New Roman" w:eastAsia="Times New Roman" w:hAnsi="Times New Roman" w:cs="Times New Roman"/>
                <w:sz w:val="24"/>
                <w:szCs w:val="24"/>
              </w:rPr>
              <w:t>x 0.35</w:t>
            </w:r>
            <w:r w:rsidRPr="00286CD1">
              <w:rPr>
                <w:rFonts w:ascii="Times New Roman" w:eastAsia="Times New Roman" w:hAnsi="Times New Roman" w:cs="Times New Roman"/>
                <w:sz w:val="24"/>
                <w:szCs w:val="24"/>
                <w:vertAlign w:val="subscript"/>
              </w:rPr>
              <w:t xml:space="preserve"> </w:t>
            </w:r>
            <w:r w:rsidRPr="00286CD1">
              <w:rPr>
                <w:rFonts w:ascii="Times New Roman" w:eastAsia="Times New Roman" w:hAnsi="Times New Roman" w:cs="Times New Roman"/>
                <w:sz w:val="24"/>
                <w:szCs w:val="24"/>
              </w:rPr>
              <w:t xml:space="preserve">- 0.47 </w:t>
            </w:r>
            <w:r>
              <w:rPr>
                <w:rFonts w:ascii="Times New Roman" w:eastAsia="Times New Roman" w:hAnsi="Times New Roman" w:cs="Times New Roman"/>
                <w:sz w:val="24"/>
                <w:szCs w:val="24"/>
              </w:rPr>
              <w:t>x 1.72</w:t>
            </w:r>
            <w:r w:rsidRPr="00286CD1">
              <w:rPr>
                <w:rFonts w:ascii="Times New Roman" w:eastAsia="Times New Roman" w:hAnsi="Times New Roman" w:cs="Times New Roman"/>
                <w:sz w:val="24"/>
                <w:szCs w:val="24"/>
              </w:rPr>
              <w:t xml:space="preserve"> + 12.60 </w:t>
            </w:r>
            <w:r>
              <w:rPr>
                <w:rFonts w:ascii="Times New Roman" w:eastAsia="Times New Roman" w:hAnsi="Times New Roman" w:cs="Times New Roman"/>
                <w:sz w:val="24"/>
                <w:szCs w:val="24"/>
              </w:rPr>
              <w:t>x 0.2809</w:t>
            </w:r>
          </w:p>
        </w:tc>
        <w:tc>
          <w:tcPr>
            <w:tcW w:w="1275" w:type="dxa"/>
            <w:tcBorders>
              <w:top w:val="single" w:sz="4" w:space="0" w:color="auto"/>
              <w:left w:val="single" w:sz="4" w:space="0" w:color="auto"/>
              <w:bottom w:val="single" w:sz="4" w:space="0" w:color="auto"/>
              <w:right w:val="single" w:sz="4" w:space="0" w:color="auto"/>
            </w:tcBorders>
            <w:vAlign w:val="center"/>
          </w:tcPr>
          <w:p w:rsidR="003A0AAB" w:rsidRPr="00286CD1" w:rsidRDefault="003A0AAB" w:rsidP="003A0AA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6.25</w:t>
            </w:r>
          </w:p>
        </w:tc>
        <w:tc>
          <w:tcPr>
            <w:tcW w:w="1134" w:type="dxa"/>
            <w:tcBorders>
              <w:top w:val="single" w:sz="4" w:space="0" w:color="auto"/>
              <w:left w:val="single" w:sz="4" w:space="0" w:color="auto"/>
              <w:bottom w:val="single" w:sz="4" w:space="0" w:color="auto"/>
              <w:right w:val="single" w:sz="4" w:space="0" w:color="auto"/>
            </w:tcBorders>
            <w:vAlign w:val="center"/>
          </w:tcPr>
          <w:p w:rsidR="003A0AAB" w:rsidRDefault="003A0AAB" w:rsidP="003A0AA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$3.04b</w:t>
            </w:r>
          </w:p>
        </w:tc>
        <w:tc>
          <w:tcPr>
            <w:tcW w:w="1650" w:type="dxa"/>
            <w:tcBorders>
              <w:top w:val="single" w:sz="4" w:space="0" w:color="auto"/>
              <w:left w:val="single" w:sz="4" w:space="0" w:color="auto"/>
              <w:bottom w:val="single" w:sz="4" w:space="0" w:color="auto"/>
              <w:right w:val="single" w:sz="4" w:space="0" w:color="auto"/>
            </w:tcBorders>
            <w:vAlign w:val="center"/>
          </w:tcPr>
          <w:p w:rsidR="003A0AAB" w:rsidRDefault="003A0AAB" w:rsidP="008A693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$19b</w:t>
            </w:r>
          </w:p>
          <w:p w:rsidR="003A0AAB" w:rsidRDefault="003A0AAB" w:rsidP="003A0AA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 $24.59 p.s.</w:t>
            </w:r>
          </w:p>
        </w:tc>
      </w:tr>
    </w:tbl>
    <w:p w:rsidR="003A0AAB" w:rsidRDefault="003A0AAB" w:rsidP="003A0AAB">
      <w:pPr>
        <w:jc w:val="both"/>
      </w:pPr>
      <w:r>
        <w:t>They are still rather far from the market price. I would consider the high volatility as a worrying sign and relative valuation being less reliable. Consider the difficulty in formulating expectations first due to the political situation and second due to the innate difficulty of evaluating high tech firms. A fundamental valuation might be more reliable in that case, assuming that we can get fair estimates for the necessary inputs. Let s see what assumptions we can develop and what price these would lead us to.</w:t>
      </w:r>
    </w:p>
    <w:p w:rsidR="003A0AAB" w:rsidRPr="003A0AAB" w:rsidRDefault="003A0AAB" w:rsidP="003A0AAB">
      <w:pPr>
        <w:jc w:val="both"/>
        <w:rPr>
          <w:b/>
        </w:rPr>
      </w:pPr>
      <w:r>
        <w:t xml:space="preserve"> </w:t>
      </w:r>
      <w:r w:rsidRPr="003A0AAB">
        <w:rPr>
          <w:b/>
        </w:rPr>
        <w:t>Fundamental Valuation</w:t>
      </w:r>
    </w:p>
    <w:p w:rsidR="003A0AAB" w:rsidRDefault="003A0AAB" w:rsidP="003A0AAB">
      <w:pPr>
        <w:jc w:val="both"/>
        <w:rPr>
          <w:rFonts w:eastAsiaTheme="minorEastAsia"/>
        </w:rPr>
      </w:pPr>
      <w:r>
        <w:t xml:space="preserve">The cost of equity is: </w:t>
      </w:r>
    </w:p>
    <w:p w:rsidR="003A0AAB" w:rsidRDefault="00000000" w:rsidP="003A0AAB">
      <w:pPr>
        <w:jc w:val="both"/>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lang w:val="el-GR"/>
                </w:rPr>
                <m:t>β</m:t>
              </m:r>
            </m:e>
            <m:sub>
              <m:r>
                <w:rPr>
                  <w:rFonts w:ascii="Cambria Math" w:hAnsi="Cambria Math"/>
                </w:rPr>
                <m:t>l, FB</m:t>
              </m:r>
            </m:sub>
          </m:sSub>
          <m:r>
            <w:rPr>
              <w:rFonts w:ascii="Cambria Math" w:hAnsi="Cambria Math"/>
            </w:rPr>
            <m:t xml:space="preserve"> x MRP</m:t>
          </m:r>
          <m:r>
            <w:rPr>
              <w:rFonts w:ascii="Cambria Math" w:eastAsiaTheme="minorEastAsia" w:hAnsi="Cambria Math"/>
            </w:rPr>
            <m:t>=3+1.72 x 5.69=12.79%</m:t>
          </m:r>
        </m:oMath>
      </m:oMathPara>
    </w:p>
    <w:p w:rsidR="003A0AAB" w:rsidRDefault="003A0AAB" w:rsidP="003A0AAB">
      <w:pPr>
        <w:jc w:val="both"/>
      </w:pPr>
      <w:r>
        <w:t>According to market analysts, NI is expected to grow very fast over the next five years. Then we will consider a slow down of five years and a mature growth of 5% after 10 years. The valuation then is:</w:t>
      </w:r>
    </w:p>
    <w:tbl>
      <w:tblPr>
        <w:tblW w:w="5000" w:type="pct"/>
        <w:jc w:val="center"/>
        <w:tblLook w:val="04A0" w:firstRow="1" w:lastRow="0" w:firstColumn="1" w:lastColumn="0" w:noHBand="0" w:noVBand="1"/>
      </w:tblPr>
      <w:tblGrid>
        <w:gridCol w:w="1832"/>
        <w:gridCol w:w="1399"/>
        <w:gridCol w:w="1159"/>
        <w:gridCol w:w="1159"/>
        <w:gridCol w:w="1159"/>
        <w:gridCol w:w="1159"/>
        <w:gridCol w:w="1159"/>
      </w:tblGrid>
      <w:tr w:rsidR="003871DF" w:rsidRPr="003871DF" w:rsidTr="003871DF">
        <w:trPr>
          <w:trHeight w:val="20"/>
          <w:jc w:val="center"/>
        </w:trPr>
        <w:tc>
          <w:tcPr>
            <w:tcW w:w="1015" w:type="pct"/>
            <w:tcBorders>
              <w:top w:val="nil"/>
              <w:left w:val="nil"/>
              <w:bottom w:val="single" w:sz="8" w:space="0" w:color="auto"/>
              <w:right w:val="nil"/>
            </w:tcBorders>
            <w:noWrap/>
            <w:vAlign w:val="center"/>
            <w:hideMark/>
          </w:tcPr>
          <w:p w:rsidR="003871DF" w:rsidRPr="003871DF" w:rsidRDefault="003871DF">
            <w:pPr>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 </w:t>
            </w:r>
          </w:p>
        </w:tc>
        <w:tc>
          <w:tcPr>
            <w:tcW w:w="77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0</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ke</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growth</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35%</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Sales</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rPr>
                <w:rFonts w:ascii="Calibri" w:eastAsia="Times New Roman" w:hAnsi="Calibri" w:cs="Calibri"/>
                <w:color w:val="000000"/>
                <w:sz w:val="20"/>
                <w:lang w:eastAsia="en-GB"/>
              </w:rPr>
            </w:pPr>
            <w:r w:rsidRPr="003871DF">
              <w:rPr>
                <w:rFonts w:ascii="Calibri" w:eastAsia="Times New Roman" w:hAnsi="Calibri" w:cs="Calibri"/>
                <w:color w:val="000000"/>
                <w:sz w:val="20"/>
                <w:lang w:eastAsia="en-GB"/>
              </w:rPr>
              <w:t xml:space="preserve">  3,040.00 </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4104.00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5540.40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7479.54</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10097.38</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13631.46</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NPM</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NI</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977.983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1320.28</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1782.37</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2406.21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3248.38</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NetCapEx/Sales</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NWC/Sales</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δ</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NetCapEx</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366.08</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494.20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667.17</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900.69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1215.93</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ΔΝWC</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104.91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141.63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191.20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258.12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348.46</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FCFE</w:t>
            </w:r>
          </w:p>
        </w:tc>
        <w:tc>
          <w:tcPr>
            <w:tcW w:w="775"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575.43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776.831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1048.72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1415.77</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1911.3</w:t>
            </w:r>
          </w:p>
        </w:tc>
      </w:tr>
      <w:tr w:rsidR="003871DF" w:rsidRPr="003871DF" w:rsidTr="003871DF">
        <w:trPr>
          <w:trHeight w:val="20"/>
          <w:jc w:val="center"/>
        </w:trPr>
        <w:tc>
          <w:tcPr>
            <w:tcW w:w="101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DF</w:t>
            </w:r>
          </w:p>
        </w:tc>
        <w:tc>
          <w:tcPr>
            <w:tcW w:w="77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 </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510.179</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610.64</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730.884</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874.806</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1047.07</w:t>
            </w:r>
          </w:p>
        </w:tc>
      </w:tr>
      <w:tr w:rsidR="003871DF" w:rsidRPr="003871DF" w:rsidTr="003871DF">
        <w:trPr>
          <w:trHeight w:val="20"/>
          <w:jc w:val="center"/>
        </w:trPr>
        <w:tc>
          <w:tcPr>
            <w:tcW w:w="101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 </w:t>
            </w:r>
          </w:p>
        </w:tc>
        <w:tc>
          <w:tcPr>
            <w:tcW w:w="77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6</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7</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10</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11</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ke</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12.79%</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growth</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Sales</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17720.90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22151.13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26581.35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30568.55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33625.41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35306.68</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NPM</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23.83%</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NI</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4222.89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5278.61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6334.34</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7284.49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8012.93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8413.58</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NetCapEx/Sales</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8.92%</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NWC/Sales</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9.86%</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δ</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14.53%</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NetCapEx</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1580.70</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1975.88</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2371.06</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2726.71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2999.39</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3149.36</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ΔΝWC</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403.22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436.82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436.82</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393.14</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301.41</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165.77</w:t>
            </w:r>
          </w:p>
        </w:tc>
      </w:tr>
      <w:tr w:rsidR="003871DF" w:rsidRPr="003871DF" w:rsidTr="003871DF">
        <w:trPr>
          <w:trHeight w:val="20"/>
          <w:jc w:val="center"/>
        </w:trPr>
        <w:tc>
          <w:tcPr>
            <w:tcW w:w="101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FCFE</w:t>
            </w:r>
          </w:p>
        </w:tc>
        <w:tc>
          <w:tcPr>
            <w:tcW w:w="775"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2527.23</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3216.48</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3934.44</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4617.95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5191.75</w:t>
            </w:r>
          </w:p>
        </w:tc>
        <w:tc>
          <w:tcPr>
            <w:tcW w:w="642" w:type="pct"/>
            <w:tcBorders>
              <w:top w:val="nil"/>
              <w:left w:val="nil"/>
              <w:bottom w:val="nil"/>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5580.14</w:t>
            </w:r>
          </w:p>
        </w:tc>
      </w:tr>
      <w:tr w:rsidR="003871DF" w:rsidRPr="003871DF" w:rsidTr="003871DF">
        <w:trPr>
          <w:trHeight w:val="20"/>
          <w:jc w:val="center"/>
        </w:trPr>
        <w:tc>
          <w:tcPr>
            <w:tcW w:w="101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DF</w:t>
            </w:r>
          </w:p>
        </w:tc>
        <w:tc>
          <w:tcPr>
            <w:tcW w:w="775"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1227.5</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1385.12</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1502.17</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1563.2</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1558.14</w:t>
            </w:r>
          </w:p>
        </w:tc>
        <w:tc>
          <w:tcPr>
            <w:tcW w:w="642" w:type="pct"/>
            <w:tcBorders>
              <w:top w:val="nil"/>
              <w:left w:val="nil"/>
              <w:bottom w:val="single" w:sz="8" w:space="0" w:color="auto"/>
              <w:right w:val="nil"/>
            </w:tcBorders>
            <w:noWrap/>
            <w:vAlign w:val="center"/>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21498.2</w:t>
            </w:r>
          </w:p>
        </w:tc>
      </w:tr>
      <w:tr w:rsidR="003871DF" w:rsidRPr="003871DF" w:rsidTr="003871DF">
        <w:trPr>
          <w:trHeight w:val="20"/>
          <w:jc w:val="center"/>
        </w:trPr>
        <w:tc>
          <w:tcPr>
            <w:tcW w:w="1015" w:type="pct"/>
            <w:tcBorders>
              <w:top w:val="nil"/>
              <w:left w:val="nil"/>
              <w:bottom w:val="nil"/>
              <w:right w:val="nil"/>
            </w:tcBorders>
            <w:noWrap/>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FC7856">
              <w:t>MVE</w:t>
            </w:r>
          </w:p>
        </w:tc>
        <w:tc>
          <w:tcPr>
            <w:tcW w:w="775" w:type="pct"/>
            <w:tcBorders>
              <w:top w:val="nil"/>
              <w:left w:val="nil"/>
              <w:bottom w:val="single" w:sz="8" w:space="0" w:color="auto"/>
              <w:right w:val="nil"/>
            </w:tcBorders>
            <w:noWrap/>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 xml:space="preserve"> $32,507.88 </w:t>
            </w: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jc w:val="right"/>
              <w:rPr>
                <w:rFonts w:ascii="Calibri" w:eastAsia="Times New Roman" w:hAnsi="Calibri" w:cs="Calibri"/>
                <w:color w:val="000000"/>
                <w:sz w:val="20"/>
                <w:szCs w:val="24"/>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r>
      <w:tr w:rsidR="003871DF" w:rsidRPr="003871DF" w:rsidTr="003871DF">
        <w:trPr>
          <w:trHeight w:val="20"/>
          <w:jc w:val="center"/>
        </w:trPr>
        <w:tc>
          <w:tcPr>
            <w:tcW w:w="1015" w:type="pct"/>
            <w:tcBorders>
              <w:top w:val="nil"/>
              <w:left w:val="nil"/>
              <w:bottom w:val="nil"/>
              <w:right w:val="nil"/>
            </w:tcBorders>
            <w:noWrap/>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FC7856">
              <w:t>Per share</w:t>
            </w:r>
          </w:p>
        </w:tc>
        <w:tc>
          <w:tcPr>
            <w:tcW w:w="775" w:type="pct"/>
            <w:tcBorders>
              <w:top w:val="nil"/>
              <w:left w:val="nil"/>
              <w:bottom w:val="nil"/>
              <w:right w:val="nil"/>
            </w:tcBorders>
            <w:noWrap/>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r w:rsidRPr="003871DF">
              <w:rPr>
                <w:rFonts w:ascii="Times New Roman" w:eastAsia="Times New Roman" w:hAnsi="Times New Roman" w:cs="Times New Roman"/>
                <w:color w:val="000000"/>
                <w:sz w:val="20"/>
                <w:szCs w:val="24"/>
                <w:lang w:eastAsia="en-GB"/>
              </w:rPr>
              <w:t>$42.07</w:t>
            </w: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jc w:val="center"/>
              <w:rPr>
                <w:rFonts w:ascii="Times New Roman" w:eastAsia="Times New Roman" w:hAnsi="Times New Roman" w:cs="Times New Roman"/>
                <w:color w:val="000000"/>
                <w:sz w:val="20"/>
                <w:szCs w:val="24"/>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c>
          <w:tcPr>
            <w:tcW w:w="642" w:type="pct"/>
            <w:tcBorders>
              <w:top w:val="nil"/>
              <w:left w:val="nil"/>
              <w:bottom w:val="nil"/>
              <w:right w:val="nil"/>
            </w:tcBorders>
            <w:noWrap/>
            <w:vAlign w:val="bottom"/>
            <w:hideMark/>
          </w:tcPr>
          <w:p w:rsidR="003871DF" w:rsidRPr="003871DF" w:rsidRDefault="003871DF" w:rsidP="003871DF">
            <w:pPr>
              <w:spacing w:after="0" w:line="240" w:lineRule="auto"/>
              <w:rPr>
                <w:rFonts w:ascii="Times New Roman" w:eastAsia="Times New Roman" w:hAnsi="Times New Roman" w:cs="Times New Roman"/>
                <w:sz w:val="20"/>
                <w:szCs w:val="20"/>
                <w:lang w:eastAsia="en-GB"/>
              </w:rPr>
            </w:pPr>
          </w:p>
        </w:tc>
      </w:tr>
    </w:tbl>
    <w:p w:rsidR="003A0AAB" w:rsidRDefault="003A0AAB" w:rsidP="003A0AAB">
      <w:pPr>
        <w:jc w:val="both"/>
      </w:pPr>
      <w:r>
        <w:t xml:space="preserve">The fundamental Valuation </w:t>
      </w:r>
      <w:r w:rsidR="0062347E">
        <w:t xml:space="preserve">is consistent with a price </w:t>
      </w:r>
      <w:r w:rsidR="003871DF">
        <w:t>above the current price</w:t>
      </w:r>
      <w:r w:rsidR="0062347E">
        <w:t>. Analysts seem to also have a mixed feeling</w:t>
      </w:r>
      <w:r w:rsidR="003871DF">
        <w:t>s</w:t>
      </w:r>
      <w:r w:rsidR="0062347E">
        <w:t>, also suggesting a hold. Considering the range of all the valuations we have performed here, it seems to be a rather tricky period to evaluate the stock.</w:t>
      </w:r>
    </w:p>
    <w:p w:rsidR="003A0AAB" w:rsidRDefault="003A0AAB" w:rsidP="003A0AAB">
      <w:pPr>
        <w:jc w:val="center"/>
      </w:pPr>
      <w:r>
        <w:rPr>
          <w:noProof/>
          <w:lang w:eastAsia="en-GB"/>
        </w:rPr>
        <w:drawing>
          <wp:inline distT="0" distB="0" distL="0" distR="0" wp14:anchorId="31A2AA05" wp14:editId="141BB5B1">
            <wp:extent cx="4991100" cy="1517558"/>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16140" t="31345" r="18562" b="33345"/>
                    <a:stretch/>
                  </pic:blipFill>
                  <pic:spPr bwMode="auto">
                    <a:xfrm>
                      <a:off x="0" y="0"/>
                      <a:ext cx="5001572" cy="1520742"/>
                    </a:xfrm>
                    <a:prstGeom prst="rect">
                      <a:avLst/>
                    </a:prstGeom>
                    <a:ln>
                      <a:noFill/>
                    </a:ln>
                    <a:extLst>
                      <a:ext uri="{53640926-AAD7-44D8-BBD7-CCE9431645EC}">
                        <a14:shadowObscured xmlns:a14="http://schemas.microsoft.com/office/drawing/2010/main"/>
                      </a:ext>
                    </a:extLst>
                  </pic:spPr>
                </pic:pic>
              </a:graphicData>
            </a:graphic>
          </wp:inline>
        </w:drawing>
      </w:r>
    </w:p>
    <w:p w:rsidR="00CB2EAF" w:rsidRDefault="003A0AAB" w:rsidP="00CB2EAF">
      <w:pPr>
        <w:jc w:val="both"/>
      </w:pPr>
      <w:r>
        <w:t>Probably it is a rather tricky period to evaluate these stocks and analysts suggest a hold rather than a buy. The market (relative) valuation is very volatile and therefore it might be better to base the recommendation on the DCF valuation with a target price &gt; $40.</w:t>
      </w:r>
      <w:r w:rsidR="00CB2EAF">
        <w:br w:type="page"/>
      </w:r>
    </w:p>
    <w:p w:rsidR="00CB2EAF" w:rsidRPr="00201BC8" w:rsidRDefault="00CB2EAF" w:rsidP="00CB2EAF">
      <w:pPr>
        <w:jc w:val="both"/>
        <w:rPr>
          <w:b/>
        </w:rPr>
      </w:pPr>
      <w:r>
        <w:rPr>
          <w:b/>
        </w:rPr>
        <w:t>Update</w:t>
      </w:r>
      <w:r w:rsidRPr="00201BC8">
        <w:rPr>
          <w:b/>
        </w:rPr>
        <w:t xml:space="preserve"> March 20</w:t>
      </w:r>
      <w:r>
        <w:rPr>
          <w:b/>
        </w:rPr>
        <w:t>21 (Coronavirus)</w:t>
      </w:r>
    </w:p>
    <w:p w:rsidR="00D16FE3" w:rsidRDefault="00D16FE3" w:rsidP="00CB2EAF">
      <w:pPr>
        <w:jc w:val="both"/>
      </w:pPr>
      <w:r>
        <w:t xml:space="preserve">Twitter was one of the </w:t>
      </w:r>
      <w:r w:rsidR="00953EBE">
        <w:t>losers</w:t>
      </w:r>
      <w:r>
        <w:t xml:space="preserve"> </w:t>
      </w:r>
      <w:r w:rsidR="009E3AF9">
        <w:t>of the online hype peers during</w:t>
      </w:r>
      <w:r>
        <w:t xml:space="preserve"> the coronavirus crisis. </w:t>
      </w:r>
      <w:r w:rsidR="009E3AF9">
        <w:t xml:space="preserve">Its net income for 2020 was negative again at around $1,135.6b. However, it is currently experiencing a price rise. </w:t>
      </w:r>
      <w:r>
        <w:t>Its pre-crisis price was around $40 per share and after a 50% drop in value it now stands at around $70 ($68.10 at the time of valuation). We will try to evaluate its value with respect to its competitors (relative valuation), as well as its fundamentals</w:t>
      </w:r>
      <w:r w:rsidR="002954EF">
        <w:t xml:space="preserve"> (higher than expected growth in MAU)</w:t>
      </w:r>
      <w:r>
        <w:t xml:space="preserve">. </w:t>
      </w:r>
    </w:p>
    <w:p w:rsidR="002954EF" w:rsidRDefault="002954EF" w:rsidP="002954EF">
      <w:pPr>
        <w:jc w:val="center"/>
      </w:pPr>
      <w:r>
        <w:rPr>
          <w:noProof/>
          <w:lang w:eastAsia="en-GB"/>
        </w:rPr>
        <w:drawing>
          <wp:inline distT="0" distB="0" distL="0" distR="0" wp14:anchorId="12E9CB6B" wp14:editId="076BD6FD">
            <wp:extent cx="3669409" cy="1765119"/>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5326" t="20445" r="2814" b="18101"/>
                    <a:stretch/>
                  </pic:blipFill>
                  <pic:spPr bwMode="auto">
                    <a:xfrm>
                      <a:off x="0" y="0"/>
                      <a:ext cx="3677313" cy="1768921"/>
                    </a:xfrm>
                    <a:prstGeom prst="rect">
                      <a:avLst/>
                    </a:prstGeom>
                    <a:ln>
                      <a:noFill/>
                    </a:ln>
                    <a:extLst>
                      <a:ext uri="{53640926-AAD7-44D8-BBD7-CCE9431645EC}">
                        <a14:shadowObscured xmlns:a14="http://schemas.microsoft.com/office/drawing/2010/main"/>
                      </a:ext>
                    </a:extLst>
                  </pic:spPr>
                </pic:pic>
              </a:graphicData>
            </a:graphic>
          </wp:inline>
        </w:drawing>
      </w:r>
    </w:p>
    <w:p w:rsidR="00CB2EAF" w:rsidRDefault="002954EF" w:rsidP="00CB2EAF">
      <w:pPr>
        <w:jc w:val="both"/>
      </w:pPr>
      <w:r>
        <w:t>First, let us get some data on peers (data is taken from the links quoted and from EIKON).</w:t>
      </w:r>
      <w:r w:rsidR="00953EBE">
        <w:t xml:space="preserve"> </w:t>
      </w:r>
    </w:p>
    <w:tbl>
      <w:tblPr>
        <w:tblStyle w:val="Tablaconcuadrcula"/>
        <w:tblW w:w="0" w:type="auto"/>
        <w:jc w:val="center"/>
        <w:tblLook w:val="04A0" w:firstRow="1" w:lastRow="0" w:firstColumn="1" w:lastColumn="0" w:noHBand="0" w:noVBand="1"/>
      </w:tblPr>
      <w:tblGrid>
        <w:gridCol w:w="1259"/>
        <w:gridCol w:w="894"/>
        <w:gridCol w:w="1057"/>
        <w:gridCol w:w="1112"/>
        <w:gridCol w:w="718"/>
        <w:gridCol w:w="718"/>
        <w:gridCol w:w="1248"/>
        <w:gridCol w:w="1246"/>
        <w:gridCol w:w="764"/>
      </w:tblGrid>
      <w:tr w:rsidR="003F7350" w:rsidTr="003F7350">
        <w:trPr>
          <w:jc w:val="center"/>
        </w:trPr>
        <w:tc>
          <w:tcPr>
            <w:tcW w:w="0" w:type="auto"/>
            <w:vAlign w:val="center"/>
          </w:tcPr>
          <w:p w:rsidR="003F7350" w:rsidRDefault="003F7350" w:rsidP="003431C8">
            <w:pPr>
              <w:jc w:val="center"/>
            </w:pPr>
            <w:r>
              <w:t>Company</w:t>
            </w:r>
          </w:p>
        </w:tc>
        <w:tc>
          <w:tcPr>
            <w:tcW w:w="0" w:type="auto"/>
            <w:vAlign w:val="center"/>
          </w:tcPr>
          <w:p w:rsidR="003F7350" w:rsidRDefault="003F7350" w:rsidP="003431C8">
            <w:pPr>
              <w:jc w:val="center"/>
            </w:pPr>
            <w:r>
              <w:t>MAU</w:t>
            </w:r>
          </w:p>
        </w:tc>
        <w:tc>
          <w:tcPr>
            <w:tcW w:w="0" w:type="auto"/>
            <w:vAlign w:val="center"/>
          </w:tcPr>
          <w:p w:rsidR="003F7350" w:rsidRDefault="003F7350" w:rsidP="003431C8">
            <w:pPr>
              <w:jc w:val="center"/>
            </w:pPr>
            <w:r>
              <w:t>MCAP</w:t>
            </w:r>
          </w:p>
        </w:tc>
        <w:tc>
          <w:tcPr>
            <w:tcW w:w="0" w:type="auto"/>
            <w:vAlign w:val="center"/>
          </w:tcPr>
          <w:p w:rsidR="003F7350" w:rsidRDefault="003F7350" w:rsidP="003431C8">
            <w:pPr>
              <w:jc w:val="center"/>
            </w:pPr>
            <w:r>
              <w:t>#shares</w:t>
            </w:r>
          </w:p>
        </w:tc>
        <w:tc>
          <w:tcPr>
            <w:tcW w:w="0" w:type="auto"/>
            <w:vAlign w:val="center"/>
          </w:tcPr>
          <w:p w:rsidR="003F7350" w:rsidRDefault="003F7350" w:rsidP="003431C8">
            <w:pPr>
              <w:jc w:val="center"/>
            </w:pPr>
            <w:r>
              <w:t>P/E</w:t>
            </w:r>
          </w:p>
        </w:tc>
        <w:tc>
          <w:tcPr>
            <w:tcW w:w="0" w:type="auto"/>
            <w:vAlign w:val="center"/>
          </w:tcPr>
          <w:p w:rsidR="003F7350" w:rsidRDefault="003F7350" w:rsidP="003431C8">
            <w:pPr>
              <w:jc w:val="center"/>
            </w:pPr>
            <w:r>
              <w:t>P/S</w:t>
            </w:r>
          </w:p>
        </w:tc>
        <w:tc>
          <w:tcPr>
            <w:tcW w:w="0" w:type="auto"/>
            <w:vAlign w:val="center"/>
          </w:tcPr>
          <w:p w:rsidR="003F7350" w:rsidRDefault="003F7350" w:rsidP="003431C8">
            <w:pPr>
              <w:jc w:val="center"/>
            </w:pPr>
            <w:r>
              <w:t>Net Income</w:t>
            </w:r>
          </w:p>
        </w:tc>
        <w:tc>
          <w:tcPr>
            <w:tcW w:w="0" w:type="auto"/>
          </w:tcPr>
          <w:p w:rsidR="003F7350" w:rsidRDefault="003F7350" w:rsidP="003431C8">
            <w:pPr>
              <w:jc w:val="center"/>
            </w:pPr>
            <w:r>
              <w:t>Revenue per share</w:t>
            </w:r>
          </w:p>
        </w:tc>
        <w:tc>
          <w:tcPr>
            <w:tcW w:w="0" w:type="auto"/>
          </w:tcPr>
          <w:p w:rsidR="003F7350" w:rsidRDefault="003F7350" w:rsidP="003431C8">
            <w:pPr>
              <w:jc w:val="center"/>
            </w:pPr>
            <w:r>
              <w:t>ROE</w:t>
            </w:r>
          </w:p>
        </w:tc>
      </w:tr>
      <w:tr w:rsidR="003F7350" w:rsidTr="003F7350">
        <w:trPr>
          <w:jc w:val="center"/>
        </w:trPr>
        <w:tc>
          <w:tcPr>
            <w:tcW w:w="0" w:type="auto"/>
            <w:vAlign w:val="center"/>
          </w:tcPr>
          <w:p w:rsidR="003F7350" w:rsidRDefault="003F7350" w:rsidP="003431C8">
            <w:pPr>
              <w:jc w:val="center"/>
            </w:pPr>
            <w:r>
              <w:t>Twitter</w:t>
            </w:r>
          </w:p>
        </w:tc>
        <w:tc>
          <w:tcPr>
            <w:tcW w:w="0" w:type="auto"/>
            <w:vAlign w:val="center"/>
          </w:tcPr>
          <w:p w:rsidR="003F7350" w:rsidRDefault="003F7350" w:rsidP="002954EF">
            <w:pPr>
              <w:jc w:val="center"/>
            </w:pPr>
            <w:hyperlink r:id="rId61" w:history="1">
              <w:r w:rsidRPr="002954EF">
                <w:rPr>
                  <w:rStyle w:val="Hipervnculo"/>
                </w:rPr>
                <w:t>322.4m</w:t>
              </w:r>
            </w:hyperlink>
          </w:p>
        </w:tc>
        <w:tc>
          <w:tcPr>
            <w:tcW w:w="0" w:type="auto"/>
            <w:vAlign w:val="center"/>
          </w:tcPr>
          <w:p w:rsidR="003F7350" w:rsidRDefault="003F7350" w:rsidP="009E3AF9">
            <w:pPr>
              <w:jc w:val="center"/>
            </w:pPr>
            <w:r>
              <w:t>$54.35b</w:t>
            </w:r>
          </w:p>
        </w:tc>
        <w:tc>
          <w:tcPr>
            <w:tcW w:w="0" w:type="auto"/>
            <w:vAlign w:val="center"/>
          </w:tcPr>
          <w:p w:rsidR="003F7350" w:rsidRDefault="003F7350" w:rsidP="004D5FFF">
            <w:pPr>
              <w:jc w:val="center"/>
            </w:pPr>
            <w:r>
              <w:t>787.86m</w:t>
            </w:r>
          </w:p>
        </w:tc>
        <w:tc>
          <w:tcPr>
            <w:tcW w:w="0" w:type="auto"/>
            <w:vAlign w:val="center"/>
          </w:tcPr>
          <w:p w:rsidR="003F7350" w:rsidRDefault="003F7350" w:rsidP="003431C8">
            <w:pPr>
              <w:jc w:val="center"/>
            </w:pPr>
            <w:r>
              <w:t>N/A</w:t>
            </w:r>
          </w:p>
        </w:tc>
        <w:tc>
          <w:tcPr>
            <w:tcW w:w="0" w:type="auto"/>
            <w:vAlign w:val="center"/>
          </w:tcPr>
          <w:p w:rsidR="003F7350" w:rsidRDefault="003F7350" w:rsidP="003431C8">
            <w:pPr>
              <w:jc w:val="center"/>
            </w:pPr>
            <w:r>
              <w:t>14.63</w:t>
            </w:r>
          </w:p>
        </w:tc>
        <w:tc>
          <w:tcPr>
            <w:tcW w:w="0" w:type="auto"/>
            <w:vAlign w:val="center"/>
          </w:tcPr>
          <w:p w:rsidR="003F7350" w:rsidRDefault="003F7350" w:rsidP="004D5FFF">
            <w:pPr>
              <w:jc w:val="center"/>
            </w:pPr>
            <w:r>
              <w:t>($1,135.6b)</w:t>
            </w:r>
          </w:p>
        </w:tc>
        <w:tc>
          <w:tcPr>
            <w:tcW w:w="0" w:type="auto"/>
          </w:tcPr>
          <w:p w:rsidR="003F7350" w:rsidRDefault="003F7350" w:rsidP="004D5FFF">
            <w:pPr>
              <w:jc w:val="center"/>
            </w:pPr>
            <w:r>
              <w:t>4.66</w:t>
            </w:r>
          </w:p>
        </w:tc>
        <w:tc>
          <w:tcPr>
            <w:tcW w:w="0" w:type="auto"/>
          </w:tcPr>
          <w:p w:rsidR="003F7350" w:rsidRDefault="003F7350" w:rsidP="004D5FFF">
            <w:pPr>
              <w:jc w:val="center"/>
            </w:pPr>
            <w:r>
              <w:t>(6.95)</w:t>
            </w:r>
          </w:p>
        </w:tc>
      </w:tr>
      <w:tr w:rsidR="003F7350" w:rsidTr="003F7350">
        <w:trPr>
          <w:jc w:val="center"/>
        </w:trPr>
        <w:tc>
          <w:tcPr>
            <w:tcW w:w="0" w:type="auto"/>
            <w:vAlign w:val="center"/>
          </w:tcPr>
          <w:p w:rsidR="003F7350" w:rsidRDefault="003F7350" w:rsidP="003431C8">
            <w:pPr>
              <w:jc w:val="center"/>
            </w:pPr>
            <w:r>
              <w:t>Facebook</w:t>
            </w:r>
          </w:p>
        </w:tc>
        <w:tc>
          <w:tcPr>
            <w:tcW w:w="0" w:type="auto"/>
            <w:vAlign w:val="center"/>
          </w:tcPr>
          <w:p w:rsidR="003F7350" w:rsidRDefault="003F7350" w:rsidP="002954EF">
            <w:pPr>
              <w:jc w:val="center"/>
            </w:pPr>
            <w:hyperlink r:id="rId62" w:history="1">
              <w:r w:rsidRPr="002954EF">
                <w:rPr>
                  <w:rStyle w:val="Hipervnculo"/>
                </w:rPr>
                <w:t>2,797m</w:t>
              </w:r>
            </w:hyperlink>
          </w:p>
        </w:tc>
        <w:tc>
          <w:tcPr>
            <w:tcW w:w="0" w:type="auto"/>
            <w:vAlign w:val="center"/>
          </w:tcPr>
          <w:p w:rsidR="003F7350" w:rsidRDefault="003F7350" w:rsidP="004D5FFF">
            <w:pPr>
              <w:jc w:val="center"/>
            </w:pPr>
            <w:r>
              <w:t>$764.31b</w:t>
            </w:r>
          </w:p>
        </w:tc>
        <w:tc>
          <w:tcPr>
            <w:tcW w:w="0" w:type="auto"/>
            <w:vAlign w:val="center"/>
          </w:tcPr>
          <w:p w:rsidR="003F7350" w:rsidRDefault="003F7350" w:rsidP="004D5FFF">
            <w:pPr>
              <w:jc w:val="center"/>
            </w:pPr>
            <w:r>
              <w:t>2,888m</w:t>
            </w:r>
          </w:p>
        </w:tc>
        <w:tc>
          <w:tcPr>
            <w:tcW w:w="0" w:type="auto"/>
            <w:vAlign w:val="center"/>
          </w:tcPr>
          <w:p w:rsidR="003F7350" w:rsidRDefault="003F7350" w:rsidP="003431C8">
            <w:pPr>
              <w:jc w:val="center"/>
            </w:pPr>
            <w:r>
              <w:t>26.61</w:t>
            </w:r>
          </w:p>
        </w:tc>
        <w:tc>
          <w:tcPr>
            <w:tcW w:w="0" w:type="auto"/>
            <w:vAlign w:val="center"/>
          </w:tcPr>
          <w:p w:rsidR="003F7350" w:rsidRDefault="003F7350" w:rsidP="003431C8">
            <w:pPr>
              <w:jc w:val="center"/>
            </w:pPr>
            <w:r>
              <w:t>8.89</w:t>
            </w:r>
          </w:p>
        </w:tc>
        <w:tc>
          <w:tcPr>
            <w:tcW w:w="0" w:type="auto"/>
            <w:vAlign w:val="center"/>
          </w:tcPr>
          <w:p w:rsidR="003F7350" w:rsidRDefault="003F7350" w:rsidP="004D5FFF">
            <w:pPr>
              <w:jc w:val="center"/>
            </w:pPr>
            <w:r>
              <w:t>$29.15b</w:t>
            </w:r>
          </w:p>
        </w:tc>
        <w:tc>
          <w:tcPr>
            <w:tcW w:w="0" w:type="auto"/>
          </w:tcPr>
          <w:p w:rsidR="003F7350" w:rsidRDefault="003F7350" w:rsidP="004D5FFF">
            <w:pPr>
              <w:jc w:val="center"/>
            </w:pPr>
            <w:r>
              <w:t>30.19</w:t>
            </w:r>
          </w:p>
        </w:tc>
        <w:tc>
          <w:tcPr>
            <w:tcW w:w="0" w:type="auto"/>
          </w:tcPr>
          <w:p w:rsidR="003F7350" w:rsidRDefault="003F7350" w:rsidP="004D5FFF">
            <w:pPr>
              <w:jc w:val="center"/>
            </w:pPr>
            <w:r>
              <w:t>24.88</w:t>
            </w:r>
          </w:p>
        </w:tc>
      </w:tr>
      <w:tr w:rsidR="003F7350" w:rsidTr="003F7350">
        <w:trPr>
          <w:jc w:val="center"/>
        </w:trPr>
        <w:tc>
          <w:tcPr>
            <w:tcW w:w="0" w:type="auto"/>
            <w:vAlign w:val="center"/>
          </w:tcPr>
          <w:p w:rsidR="003F7350" w:rsidRDefault="003F7350" w:rsidP="003431C8">
            <w:pPr>
              <w:jc w:val="center"/>
            </w:pPr>
            <w:r>
              <w:t>Snapchat</w:t>
            </w:r>
          </w:p>
        </w:tc>
        <w:tc>
          <w:tcPr>
            <w:tcW w:w="0" w:type="auto"/>
            <w:vAlign w:val="center"/>
          </w:tcPr>
          <w:p w:rsidR="003F7350" w:rsidRDefault="003F7350" w:rsidP="00953EBE">
            <w:pPr>
              <w:jc w:val="center"/>
            </w:pPr>
            <w:hyperlink r:id="rId63" w:history="1">
              <w:r w:rsidRPr="003A0AAB">
                <w:rPr>
                  <w:rStyle w:val="Hipervnculo"/>
                </w:rPr>
                <w:t>3</w:t>
              </w:r>
              <w:r>
                <w:rPr>
                  <w:rStyle w:val="Hipervnculo"/>
                </w:rPr>
                <w:t>64.6m</w:t>
              </w:r>
            </w:hyperlink>
          </w:p>
        </w:tc>
        <w:tc>
          <w:tcPr>
            <w:tcW w:w="0" w:type="auto"/>
            <w:vAlign w:val="center"/>
          </w:tcPr>
          <w:p w:rsidR="003F7350" w:rsidRDefault="003F7350" w:rsidP="004D5FFF">
            <w:pPr>
              <w:jc w:val="center"/>
            </w:pPr>
            <w:r>
              <w:t>$94.56b</w:t>
            </w:r>
          </w:p>
        </w:tc>
        <w:tc>
          <w:tcPr>
            <w:tcW w:w="0" w:type="auto"/>
            <w:vAlign w:val="center"/>
          </w:tcPr>
          <w:p w:rsidR="003F7350" w:rsidRDefault="003F7350" w:rsidP="004D5FFF">
            <w:pPr>
              <w:jc w:val="center"/>
            </w:pPr>
            <w:r>
              <w:t>1,455.63b</w:t>
            </w:r>
          </w:p>
        </w:tc>
        <w:tc>
          <w:tcPr>
            <w:tcW w:w="0" w:type="auto"/>
            <w:vAlign w:val="center"/>
          </w:tcPr>
          <w:p w:rsidR="003F7350" w:rsidRDefault="003F7350" w:rsidP="003431C8">
            <w:pPr>
              <w:jc w:val="center"/>
            </w:pPr>
            <w:r>
              <w:t>N/A</w:t>
            </w:r>
          </w:p>
        </w:tc>
        <w:tc>
          <w:tcPr>
            <w:tcW w:w="0" w:type="auto"/>
            <w:vAlign w:val="center"/>
          </w:tcPr>
          <w:p w:rsidR="003F7350" w:rsidRDefault="003F7350" w:rsidP="003431C8">
            <w:pPr>
              <w:jc w:val="center"/>
            </w:pPr>
            <w:r>
              <w:t>37.72</w:t>
            </w:r>
          </w:p>
        </w:tc>
        <w:tc>
          <w:tcPr>
            <w:tcW w:w="0" w:type="auto"/>
            <w:vAlign w:val="center"/>
          </w:tcPr>
          <w:p w:rsidR="003F7350" w:rsidRDefault="003F7350" w:rsidP="004D5FFF">
            <w:pPr>
              <w:jc w:val="center"/>
            </w:pPr>
            <w:r>
              <w:t>($0.94b)</w:t>
            </w:r>
          </w:p>
        </w:tc>
        <w:tc>
          <w:tcPr>
            <w:tcW w:w="0" w:type="auto"/>
          </w:tcPr>
          <w:p w:rsidR="003F7350" w:rsidRDefault="003F7350" w:rsidP="004D5FFF">
            <w:pPr>
              <w:jc w:val="center"/>
            </w:pPr>
            <w:r>
              <w:t>1.66</w:t>
            </w:r>
          </w:p>
        </w:tc>
        <w:tc>
          <w:tcPr>
            <w:tcW w:w="0" w:type="auto"/>
          </w:tcPr>
          <w:p w:rsidR="003F7350" w:rsidRDefault="003F7350" w:rsidP="004D5FFF">
            <w:pPr>
              <w:jc w:val="center"/>
            </w:pPr>
            <w:r>
              <w:t>-4.79</w:t>
            </w:r>
          </w:p>
        </w:tc>
      </w:tr>
      <w:tr w:rsidR="003F7350" w:rsidTr="003F7350">
        <w:trPr>
          <w:jc w:val="center"/>
        </w:trPr>
        <w:tc>
          <w:tcPr>
            <w:tcW w:w="0" w:type="auto"/>
            <w:vAlign w:val="center"/>
          </w:tcPr>
          <w:p w:rsidR="003F7350" w:rsidRDefault="003F7350" w:rsidP="004D5FFF">
            <w:pPr>
              <w:jc w:val="center"/>
            </w:pPr>
            <w:r>
              <w:t>Industry Average</w:t>
            </w:r>
          </w:p>
        </w:tc>
        <w:tc>
          <w:tcPr>
            <w:tcW w:w="0" w:type="auto"/>
            <w:vAlign w:val="center"/>
          </w:tcPr>
          <w:p w:rsidR="003F7350" w:rsidRDefault="003F7350" w:rsidP="003431C8">
            <w:pPr>
              <w:jc w:val="center"/>
            </w:pPr>
          </w:p>
        </w:tc>
        <w:tc>
          <w:tcPr>
            <w:tcW w:w="0" w:type="auto"/>
            <w:vAlign w:val="center"/>
          </w:tcPr>
          <w:p w:rsidR="003F7350" w:rsidRDefault="003F7350" w:rsidP="003431C8">
            <w:pPr>
              <w:jc w:val="center"/>
            </w:pPr>
          </w:p>
        </w:tc>
        <w:tc>
          <w:tcPr>
            <w:tcW w:w="0" w:type="auto"/>
            <w:vAlign w:val="center"/>
          </w:tcPr>
          <w:p w:rsidR="003F7350" w:rsidRDefault="003F7350" w:rsidP="003431C8">
            <w:pPr>
              <w:jc w:val="center"/>
            </w:pPr>
          </w:p>
        </w:tc>
        <w:tc>
          <w:tcPr>
            <w:tcW w:w="0" w:type="auto"/>
            <w:vAlign w:val="center"/>
          </w:tcPr>
          <w:p w:rsidR="003F7350" w:rsidRDefault="003F7350" w:rsidP="003431C8">
            <w:pPr>
              <w:jc w:val="center"/>
            </w:pPr>
            <w:hyperlink r:id="rId64" w:history="1">
              <w:r w:rsidRPr="004D5FFF">
                <w:rPr>
                  <w:rStyle w:val="Hipervnculo"/>
                </w:rPr>
                <w:t>92.26</w:t>
              </w:r>
            </w:hyperlink>
          </w:p>
        </w:tc>
        <w:tc>
          <w:tcPr>
            <w:tcW w:w="0" w:type="auto"/>
            <w:vAlign w:val="center"/>
          </w:tcPr>
          <w:p w:rsidR="003F7350" w:rsidRDefault="003F7350" w:rsidP="003431C8">
            <w:pPr>
              <w:jc w:val="center"/>
            </w:pPr>
            <w:hyperlink r:id="rId65" w:history="1">
              <w:r w:rsidRPr="004D5FFF">
                <w:rPr>
                  <w:rStyle w:val="Hipervnculo"/>
                </w:rPr>
                <w:t>14.85</w:t>
              </w:r>
            </w:hyperlink>
          </w:p>
        </w:tc>
        <w:tc>
          <w:tcPr>
            <w:tcW w:w="0" w:type="auto"/>
            <w:vAlign w:val="center"/>
          </w:tcPr>
          <w:p w:rsidR="003F7350" w:rsidRDefault="003F7350" w:rsidP="003431C8">
            <w:pPr>
              <w:jc w:val="center"/>
            </w:pPr>
          </w:p>
        </w:tc>
        <w:tc>
          <w:tcPr>
            <w:tcW w:w="0" w:type="auto"/>
          </w:tcPr>
          <w:p w:rsidR="003F7350" w:rsidRDefault="003F7350" w:rsidP="003431C8">
            <w:pPr>
              <w:jc w:val="center"/>
            </w:pPr>
          </w:p>
        </w:tc>
        <w:tc>
          <w:tcPr>
            <w:tcW w:w="0" w:type="auto"/>
          </w:tcPr>
          <w:p w:rsidR="003F7350" w:rsidRDefault="003F7350" w:rsidP="003431C8">
            <w:pPr>
              <w:jc w:val="center"/>
            </w:pPr>
            <w:r>
              <w:t>2.71%</w:t>
            </w:r>
          </w:p>
        </w:tc>
      </w:tr>
    </w:tbl>
    <w:p w:rsidR="00CB2EAF" w:rsidRDefault="00CB2EAF" w:rsidP="00CB2EAF">
      <w:pPr>
        <w:jc w:val="both"/>
      </w:pPr>
    </w:p>
    <w:p w:rsidR="00CB2EAF" w:rsidRDefault="00CB2EAF" w:rsidP="00CB2EAF">
      <w:pPr>
        <w:jc w:val="both"/>
      </w:pPr>
      <w:r>
        <w:t xml:space="preserve">Net capital expenditure, WC needs, Operating margins and cost of capital are taken from industry (Software-Internet) averages for the US market from </w:t>
      </w:r>
      <w:hyperlink r:id="rId66" w:anchor="industry" w:history="1">
        <w:r w:rsidRPr="002C1061">
          <w:rPr>
            <w:rStyle w:val="Hipervnculo"/>
          </w:rPr>
          <w:t>here</w:t>
        </w:r>
      </w:hyperlink>
      <w:r>
        <w:t>.</w:t>
      </w:r>
    </w:p>
    <w:tbl>
      <w:tblPr>
        <w:tblStyle w:val="Tablaconcuadrcula"/>
        <w:tblW w:w="0" w:type="auto"/>
        <w:jc w:val="center"/>
        <w:tblLook w:val="04A0" w:firstRow="1" w:lastRow="0" w:firstColumn="1" w:lastColumn="0" w:noHBand="0" w:noVBand="1"/>
      </w:tblPr>
      <w:tblGrid>
        <w:gridCol w:w="3279"/>
        <w:gridCol w:w="1736"/>
      </w:tblGrid>
      <w:tr w:rsidR="00CB2EAF" w:rsidTr="003431C8">
        <w:trPr>
          <w:jc w:val="center"/>
        </w:trPr>
        <w:tc>
          <w:tcPr>
            <w:tcW w:w="0" w:type="auto"/>
            <w:vAlign w:val="center"/>
          </w:tcPr>
          <w:p w:rsidR="00CB2EAF" w:rsidRDefault="00CB2EAF" w:rsidP="003431C8">
            <w:pPr>
              <w:jc w:val="center"/>
            </w:pPr>
          </w:p>
        </w:tc>
        <w:tc>
          <w:tcPr>
            <w:tcW w:w="0" w:type="auto"/>
            <w:vAlign w:val="center"/>
          </w:tcPr>
          <w:p w:rsidR="00CB2EAF" w:rsidRDefault="00CB2EAF" w:rsidP="003431C8">
            <w:pPr>
              <w:jc w:val="center"/>
            </w:pPr>
            <w:r>
              <w:t>Industry Average</w:t>
            </w:r>
          </w:p>
        </w:tc>
      </w:tr>
      <w:tr w:rsidR="00CB2EAF" w:rsidTr="003431C8">
        <w:trPr>
          <w:jc w:val="center"/>
        </w:trPr>
        <w:tc>
          <w:tcPr>
            <w:tcW w:w="0" w:type="auto"/>
            <w:vAlign w:val="center"/>
          </w:tcPr>
          <w:p w:rsidR="00CB2EAF" w:rsidRDefault="00CB2EAF" w:rsidP="003431C8">
            <w:pPr>
              <w:jc w:val="center"/>
            </w:pPr>
            <w:r>
              <w:t>NEC/Sales</w:t>
            </w:r>
          </w:p>
        </w:tc>
        <w:tc>
          <w:tcPr>
            <w:tcW w:w="0" w:type="auto"/>
            <w:vAlign w:val="center"/>
          </w:tcPr>
          <w:p w:rsidR="00CB2EAF" w:rsidRDefault="008504C9" w:rsidP="003431C8">
            <w:pPr>
              <w:jc w:val="center"/>
            </w:pPr>
            <w:hyperlink r:id="rId67" w:history="1">
              <w:r w:rsidRPr="008504C9">
                <w:rPr>
                  <w:rStyle w:val="Hipervnculo"/>
                </w:rPr>
                <w:t>6.95</w:t>
              </w:r>
              <w:r w:rsidR="00CB2EAF" w:rsidRPr="008504C9">
                <w:rPr>
                  <w:rStyle w:val="Hipervnculo"/>
                </w:rPr>
                <w:t>%</w:t>
              </w:r>
            </w:hyperlink>
          </w:p>
        </w:tc>
      </w:tr>
      <w:tr w:rsidR="00CB2EAF" w:rsidTr="003431C8">
        <w:trPr>
          <w:jc w:val="center"/>
        </w:trPr>
        <w:tc>
          <w:tcPr>
            <w:tcW w:w="0" w:type="auto"/>
            <w:vAlign w:val="center"/>
          </w:tcPr>
          <w:p w:rsidR="00CB2EAF" w:rsidRDefault="00CB2EAF" w:rsidP="003431C8">
            <w:pPr>
              <w:jc w:val="center"/>
            </w:pPr>
            <w:r>
              <w:t>WC/Sales</w:t>
            </w:r>
          </w:p>
        </w:tc>
        <w:tc>
          <w:tcPr>
            <w:tcW w:w="0" w:type="auto"/>
            <w:vAlign w:val="center"/>
          </w:tcPr>
          <w:p w:rsidR="00CB2EAF" w:rsidRDefault="008504C9" w:rsidP="003431C8">
            <w:pPr>
              <w:jc w:val="center"/>
            </w:pPr>
            <w:hyperlink r:id="rId68" w:history="1">
              <w:r w:rsidRPr="008504C9">
                <w:rPr>
                  <w:rStyle w:val="Hipervnculo"/>
                </w:rPr>
                <w:t>10.58</w:t>
              </w:r>
              <w:r w:rsidR="00CB2EAF" w:rsidRPr="008504C9">
                <w:rPr>
                  <w:rStyle w:val="Hipervnculo"/>
                </w:rPr>
                <w:t>%</w:t>
              </w:r>
            </w:hyperlink>
          </w:p>
        </w:tc>
      </w:tr>
      <w:tr w:rsidR="00CB2EAF" w:rsidTr="003431C8">
        <w:trPr>
          <w:jc w:val="center"/>
        </w:trPr>
        <w:tc>
          <w:tcPr>
            <w:tcW w:w="0" w:type="auto"/>
            <w:vAlign w:val="center"/>
          </w:tcPr>
          <w:p w:rsidR="00CB2EAF" w:rsidRDefault="00CB2EAF" w:rsidP="003431C8">
            <w:pPr>
              <w:jc w:val="center"/>
            </w:pPr>
            <w:r>
              <w:t>Operating Margin</w:t>
            </w:r>
          </w:p>
          <w:p w:rsidR="008504C9" w:rsidRDefault="008504C9" w:rsidP="003431C8">
            <w:pPr>
              <w:jc w:val="center"/>
            </w:pPr>
            <w:r>
              <w:t>(Pre Tax, R&amp;D and Lease adjusted)</w:t>
            </w:r>
          </w:p>
        </w:tc>
        <w:tc>
          <w:tcPr>
            <w:tcW w:w="0" w:type="auto"/>
            <w:vAlign w:val="center"/>
          </w:tcPr>
          <w:p w:rsidR="00CB2EAF" w:rsidRDefault="008504C9" w:rsidP="003431C8">
            <w:pPr>
              <w:jc w:val="center"/>
            </w:pPr>
            <w:hyperlink r:id="rId69" w:history="1">
              <w:r w:rsidRPr="008504C9">
                <w:rPr>
                  <w:rStyle w:val="Hipervnculo"/>
                </w:rPr>
                <w:t>6.78</w:t>
              </w:r>
              <w:r w:rsidR="00CB2EAF" w:rsidRPr="008504C9">
                <w:rPr>
                  <w:rStyle w:val="Hipervnculo"/>
                </w:rPr>
                <w:t>%</w:t>
              </w:r>
            </w:hyperlink>
          </w:p>
        </w:tc>
      </w:tr>
      <w:tr w:rsidR="00CB2EAF" w:rsidTr="003431C8">
        <w:trPr>
          <w:jc w:val="center"/>
        </w:trPr>
        <w:tc>
          <w:tcPr>
            <w:tcW w:w="0" w:type="auto"/>
            <w:vAlign w:val="center"/>
          </w:tcPr>
          <w:p w:rsidR="00CB2EAF" w:rsidRDefault="00CB2EAF" w:rsidP="003431C8">
            <w:pPr>
              <w:jc w:val="center"/>
            </w:pPr>
            <w:r>
              <w:t>Cost of capital</w:t>
            </w:r>
          </w:p>
        </w:tc>
        <w:tc>
          <w:tcPr>
            <w:tcW w:w="0" w:type="auto"/>
            <w:vAlign w:val="center"/>
          </w:tcPr>
          <w:p w:rsidR="00CB2EAF" w:rsidRDefault="008504C9" w:rsidP="003431C8">
            <w:pPr>
              <w:jc w:val="center"/>
            </w:pPr>
            <w:hyperlink r:id="rId70" w:history="1">
              <w:r w:rsidRPr="00A7438B">
                <w:rPr>
                  <w:rStyle w:val="Hipervnculo"/>
                </w:rPr>
                <w:t>4</w:t>
              </w:r>
              <w:r w:rsidR="00CB2EAF" w:rsidRPr="00A7438B">
                <w:rPr>
                  <w:rStyle w:val="Hipervnculo"/>
                </w:rPr>
                <w:t>.36%</w:t>
              </w:r>
            </w:hyperlink>
          </w:p>
        </w:tc>
      </w:tr>
    </w:tbl>
    <w:p w:rsidR="00DF79A1" w:rsidRDefault="00DF79A1" w:rsidP="00CB2EAF">
      <w:pPr>
        <w:jc w:val="both"/>
      </w:pPr>
    </w:p>
    <w:p w:rsidR="00CB2EAF" w:rsidRDefault="005F1EBC" w:rsidP="00CB2EAF">
      <w:pPr>
        <w:jc w:val="both"/>
      </w:pPr>
      <w:r>
        <w:t>Earnings forecasts are taken from Nasdaq and as you can see, the analysts believe that the negative earnings this year is rather temporary. The values below give an estimated growth of about 55% growth. This is 60% for 2022, 57% for 2023 and 53% for 2024</w:t>
      </w:r>
      <w:r w:rsidR="00A713B8">
        <w:t xml:space="preserve">. </w:t>
      </w:r>
      <w:r w:rsidR="00DF79A1">
        <w:t>Twitter is expected to come back to its pre-crisis level for earnings per share (around $1.44) in about 3 years time (in 2024). For current valuation we will consider the positive earnings (assuming that covid is now in the past and that there is adjustment to normality) as well as normalized earnings, which will be estimated as the mean between 2021 expected earnings and 2024 ($0.85=(0.35+1.35)/2)).</w:t>
      </w:r>
    </w:p>
    <w:p w:rsidR="005F1EBC" w:rsidRDefault="005F1EBC" w:rsidP="005F1EBC">
      <w:pPr>
        <w:jc w:val="center"/>
      </w:pPr>
      <w:r>
        <w:rPr>
          <w:noProof/>
          <w:lang w:eastAsia="en-GB"/>
        </w:rPr>
        <w:drawing>
          <wp:inline distT="0" distB="0" distL="0" distR="0" wp14:anchorId="6EF6C1EB" wp14:editId="5A92E281">
            <wp:extent cx="3911103" cy="1331366"/>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22069" t="21036" r="2749" b="33465"/>
                    <a:stretch/>
                  </pic:blipFill>
                  <pic:spPr bwMode="auto">
                    <a:xfrm>
                      <a:off x="0" y="0"/>
                      <a:ext cx="3917268" cy="1333465"/>
                    </a:xfrm>
                    <a:prstGeom prst="rect">
                      <a:avLst/>
                    </a:prstGeom>
                    <a:ln>
                      <a:noFill/>
                    </a:ln>
                    <a:extLst>
                      <a:ext uri="{53640926-AAD7-44D8-BBD7-CCE9431645EC}">
                        <a14:shadowObscured xmlns:a14="http://schemas.microsoft.com/office/drawing/2010/main"/>
                      </a:ext>
                    </a:extLst>
                  </pic:spPr>
                </pic:pic>
              </a:graphicData>
            </a:graphic>
          </wp:inline>
        </w:drawing>
      </w:r>
    </w:p>
    <w:p w:rsidR="00A713B8" w:rsidRDefault="00A713B8" w:rsidP="00CB2EAF">
      <w:pPr>
        <w:jc w:val="both"/>
      </w:pPr>
      <w:r>
        <w:t xml:space="preserve">This is significant growth and in addition, the consensus of all analysts is that earnings will be positive again in 2021 with a consensus at around $0.23. We will use this as our reference for valuation. </w:t>
      </w:r>
    </w:p>
    <w:p w:rsidR="00A713B8" w:rsidRDefault="00A713B8" w:rsidP="00A713B8">
      <w:pPr>
        <w:jc w:val="center"/>
      </w:pPr>
      <w:r>
        <w:rPr>
          <w:noProof/>
          <w:lang w:eastAsia="en-GB"/>
        </w:rPr>
        <w:drawing>
          <wp:inline distT="0" distB="0" distL="0" distR="0" wp14:anchorId="74E2067C" wp14:editId="745E5B30">
            <wp:extent cx="3089031" cy="270463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33397" t="26637" r="30081" b="16514"/>
                    <a:stretch/>
                  </pic:blipFill>
                  <pic:spPr bwMode="auto">
                    <a:xfrm>
                      <a:off x="0" y="0"/>
                      <a:ext cx="3095075" cy="2709926"/>
                    </a:xfrm>
                    <a:prstGeom prst="rect">
                      <a:avLst/>
                    </a:prstGeom>
                    <a:ln>
                      <a:noFill/>
                    </a:ln>
                    <a:extLst>
                      <a:ext uri="{53640926-AAD7-44D8-BBD7-CCE9431645EC}">
                        <a14:shadowObscured xmlns:a14="http://schemas.microsoft.com/office/drawing/2010/main"/>
                      </a:ext>
                    </a:extLst>
                  </pic:spPr>
                </pic:pic>
              </a:graphicData>
            </a:graphic>
          </wp:inline>
        </w:drawing>
      </w:r>
    </w:p>
    <w:p w:rsidR="00CB2EAF" w:rsidRPr="003A0AAB" w:rsidRDefault="00CB2EAF" w:rsidP="00CB2EAF">
      <w:pPr>
        <w:jc w:val="both"/>
      </w:pPr>
      <w:r w:rsidRPr="003A0AAB">
        <w:t xml:space="preserve">Some </w:t>
      </w:r>
      <w:r>
        <w:t xml:space="preserve">further inputs </w:t>
      </w:r>
    </w:p>
    <w:tbl>
      <w:tblPr>
        <w:tblStyle w:val="Tablaconcuadrcula"/>
        <w:tblW w:w="0" w:type="auto"/>
        <w:tblLook w:val="04A0" w:firstRow="1" w:lastRow="0" w:firstColumn="1" w:lastColumn="0" w:noHBand="0" w:noVBand="1"/>
      </w:tblPr>
      <w:tblGrid>
        <w:gridCol w:w="4508"/>
        <w:gridCol w:w="4508"/>
      </w:tblGrid>
      <w:tr w:rsidR="00CB2EAF" w:rsidTr="003431C8">
        <w:tc>
          <w:tcPr>
            <w:tcW w:w="4508" w:type="dxa"/>
            <w:vAlign w:val="center"/>
          </w:tcPr>
          <w:p w:rsidR="00CB2EAF" w:rsidRPr="00DC3BA3" w:rsidRDefault="00CB2EAF" w:rsidP="003431C8">
            <w:pPr>
              <w:jc w:val="center"/>
              <w:rPr>
                <w:b/>
              </w:rPr>
            </w:pPr>
            <w:r w:rsidRPr="00DC3BA3">
              <w:rPr>
                <w:b/>
              </w:rPr>
              <w:t>Item</w:t>
            </w:r>
          </w:p>
        </w:tc>
        <w:tc>
          <w:tcPr>
            <w:tcW w:w="4508" w:type="dxa"/>
            <w:vAlign w:val="center"/>
          </w:tcPr>
          <w:p w:rsidR="00CB2EAF" w:rsidRPr="00DC3BA3" w:rsidRDefault="00CB2EAF" w:rsidP="003431C8">
            <w:pPr>
              <w:jc w:val="center"/>
              <w:rPr>
                <w:b/>
              </w:rPr>
            </w:pPr>
            <w:r w:rsidRPr="00DC3BA3">
              <w:rPr>
                <w:b/>
              </w:rPr>
              <w:t>Value</w:t>
            </w:r>
          </w:p>
        </w:tc>
      </w:tr>
      <w:tr w:rsidR="00CB2EAF" w:rsidTr="003431C8">
        <w:tc>
          <w:tcPr>
            <w:tcW w:w="4508" w:type="dxa"/>
            <w:vAlign w:val="center"/>
          </w:tcPr>
          <w:p w:rsidR="00CB2EAF" w:rsidRDefault="00CB2EAF" w:rsidP="003431C8">
            <w:pPr>
              <w:jc w:val="center"/>
            </w:pPr>
            <w:r>
              <w:t>beta</w:t>
            </w:r>
          </w:p>
        </w:tc>
        <w:tc>
          <w:tcPr>
            <w:tcW w:w="4508" w:type="dxa"/>
            <w:vAlign w:val="center"/>
          </w:tcPr>
          <w:p w:rsidR="00CB2EAF" w:rsidRDefault="003F7350" w:rsidP="003431C8">
            <w:pPr>
              <w:jc w:val="center"/>
            </w:pPr>
            <w:hyperlink r:id="rId73" w:history="1">
              <w:r w:rsidRPr="003F7350">
                <w:rPr>
                  <w:rStyle w:val="Hipervnculo"/>
                </w:rPr>
                <w:t>0.81</w:t>
              </w:r>
            </w:hyperlink>
          </w:p>
        </w:tc>
      </w:tr>
      <w:tr w:rsidR="00CB2EAF" w:rsidTr="003431C8">
        <w:tc>
          <w:tcPr>
            <w:tcW w:w="4508" w:type="dxa"/>
            <w:vAlign w:val="center"/>
          </w:tcPr>
          <w:p w:rsidR="00CB2EAF" w:rsidRDefault="00CB2EAF" w:rsidP="003431C8">
            <w:pPr>
              <w:jc w:val="center"/>
            </w:pPr>
            <w:r>
              <w:t>MRP</w:t>
            </w:r>
            <w:r w:rsidR="003F7350">
              <w:t xml:space="preserve"> (Lecture Notes/Damodaran)</w:t>
            </w:r>
          </w:p>
        </w:tc>
        <w:tc>
          <w:tcPr>
            <w:tcW w:w="4508" w:type="dxa"/>
            <w:vAlign w:val="center"/>
          </w:tcPr>
          <w:p w:rsidR="00CB2EAF" w:rsidRDefault="00CB2EAF" w:rsidP="003F7350">
            <w:pPr>
              <w:jc w:val="center"/>
            </w:pPr>
            <w:r>
              <w:t>5.</w:t>
            </w:r>
            <w:r w:rsidR="003F7350">
              <w:t>2</w:t>
            </w:r>
            <w:r>
              <w:t>%</w:t>
            </w:r>
          </w:p>
        </w:tc>
      </w:tr>
      <w:tr w:rsidR="00CB2EAF" w:rsidTr="003431C8">
        <w:tc>
          <w:tcPr>
            <w:tcW w:w="4508" w:type="dxa"/>
            <w:vAlign w:val="center"/>
          </w:tcPr>
          <w:p w:rsidR="00CB2EAF" w:rsidRDefault="00CB2EAF" w:rsidP="003431C8">
            <w:pPr>
              <w:jc w:val="center"/>
            </w:pPr>
            <w:r>
              <w:t>10y American Treasury bond yield</w:t>
            </w:r>
          </w:p>
        </w:tc>
        <w:tc>
          <w:tcPr>
            <w:tcW w:w="4508" w:type="dxa"/>
            <w:vAlign w:val="center"/>
          </w:tcPr>
          <w:p w:rsidR="00CB2EAF" w:rsidRDefault="00CB2EAF" w:rsidP="003F7350">
            <w:pPr>
              <w:jc w:val="center"/>
            </w:pPr>
            <w:r>
              <w:t xml:space="preserve">Long term expectation </w:t>
            </w:r>
            <w:r w:rsidR="003F7350">
              <w:t>2</w:t>
            </w:r>
            <w:r>
              <w:t>%</w:t>
            </w:r>
          </w:p>
        </w:tc>
      </w:tr>
      <w:tr w:rsidR="00CB2EAF" w:rsidTr="003431C8">
        <w:tc>
          <w:tcPr>
            <w:tcW w:w="4508" w:type="dxa"/>
            <w:vAlign w:val="center"/>
          </w:tcPr>
          <w:p w:rsidR="00CB2EAF" w:rsidRPr="003A0AAB" w:rsidRDefault="00CB2EAF" w:rsidP="003F7350">
            <w:pPr>
              <w:jc w:val="center"/>
            </w:pPr>
            <w:r>
              <w:t>D/E=0</w:t>
            </w:r>
            <w:r w:rsidR="003F7350">
              <w:t>.44</w:t>
            </w:r>
            <w:r>
              <w:t xml:space="preserve"> </w:t>
            </w:r>
            <w:r>
              <w:sym w:font="Wingdings" w:char="F0E8"/>
            </w:r>
          </w:p>
        </w:tc>
        <w:tc>
          <w:tcPr>
            <w:tcW w:w="4508" w:type="dxa"/>
            <w:vAlign w:val="center"/>
          </w:tcPr>
          <w:p w:rsidR="00CB2EAF" w:rsidRDefault="00CB2EAF" w:rsidP="003F7350">
            <w:pPr>
              <w:jc w:val="center"/>
            </w:pPr>
            <w:r>
              <w:t>D/(D+E)=</w:t>
            </w:r>
            <w:r w:rsidR="003F7350">
              <w:t>31</w:t>
            </w:r>
            <w:r>
              <w:t>%</w:t>
            </w:r>
          </w:p>
        </w:tc>
      </w:tr>
      <w:tr w:rsidR="003F7350" w:rsidTr="003431C8">
        <w:tc>
          <w:tcPr>
            <w:tcW w:w="4508" w:type="dxa"/>
            <w:vAlign w:val="center"/>
          </w:tcPr>
          <w:p w:rsidR="003F7350" w:rsidRDefault="003F7350" w:rsidP="003F7350">
            <w:pPr>
              <w:jc w:val="center"/>
            </w:pPr>
            <w:r>
              <w:t>Industry D/(D+E) (EIKON)</w:t>
            </w:r>
          </w:p>
        </w:tc>
        <w:tc>
          <w:tcPr>
            <w:tcW w:w="4508" w:type="dxa"/>
            <w:vAlign w:val="center"/>
          </w:tcPr>
          <w:p w:rsidR="003F7350" w:rsidRDefault="003F7350" w:rsidP="003F7350">
            <w:pPr>
              <w:jc w:val="center"/>
            </w:pPr>
            <w:r>
              <w:t>8.53%</w:t>
            </w:r>
          </w:p>
        </w:tc>
      </w:tr>
    </w:tbl>
    <w:p w:rsidR="00CB2EAF" w:rsidRDefault="00CB2EAF" w:rsidP="00CB2EAF">
      <w:pPr>
        <w:jc w:val="both"/>
        <w:rPr>
          <w:i/>
        </w:rPr>
      </w:pPr>
    </w:p>
    <w:p w:rsidR="00CB2EAF" w:rsidRDefault="00CB2EAF" w:rsidP="00CB2EAF">
      <w:pPr>
        <w:jc w:val="both"/>
        <w:rPr>
          <w:i/>
        </w:rPr>
      </w:pPr>
      <w:r w:rsidRPr="00A114B9">
        <w:rPr>
          <w:i/>
        </w:rPr>
        <w:t>Relative Valuation</w:t>
      </w:r>
    </w:p>
    <w:p w:rsidR="00A713B8" w:rsidRDefault="00A713B8" w:rsidP="00A713B8">
      <w:pPr>
        <w:jc w:val="both"/>
        <w:rPr>
          <w:i/>
        </w:rPr>
      </w:pPr>
      <w:r w:rsidRPr="000E1C9C">
        <w:rPr>
          <w:i/>
        </w:rPr>
        <w:t>Price Sales Ratio</w:t>
      </w:r>
    </w:p>
    <w:p w:rsidR="00A713B8" w:rsidRDefault="00A713B8" w:rsidP="00CB2EAF">
      <w:pPr>
        <w:jc w:val="both"/>
      </w:pPr>
      <w:r w:rsidRPr="00A713B8">
        <w:t>Using th</w:t>
      </w:r>
      <w:r>
        <w:t>e normalized (expected) earnings of $0.23 and the average P/E ratio taken from Damodaran the price for Twitter should be:</w:t>
      </w:r>
    </w:p>
    <w:p w:rsidR="00A713B8" w:rsidRDefault="00000000" w:rsidP="00CB2EAF">
      <w:pPr>
        <w:jc w:val="both"/>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Twitter</m:t>
              </m:r>
            </m:sub>
          </m:sSub>
          <m:r>
            <w:rPr>
              <w:rFonts w:ascii="Cambria Math" w:hAnsi="Cambria Math"/>
            </w:rPr>
            <m:t>=92.26x$0.23=$21.22</m:t>
          </m:r>
        </m:oMath>
      </m:oMathPara>
    </w:p>
    <w:p w:rsidR="002D6692" w:rsidRDefault="002D6692" w:rsidP="00CB2EAF">
      <w:pPr>
        <w:jc w:val="both"/>
        <w:rPr>
          <w:rFonts w:eastAsiaTheme="minorEastAsia"/>
        </w:rPr>
      </w:pPr>
      <w:r>
        <w:rPr>
          <w:rFonts w:eastAsiaTheme="minorEastAsia"/>
        </w:rPr>
        <w:t>This is a valuation that is considerably lower than the market price.</w:t>
      </w:r>
      <w:r w:rsidR="003F7350">
        <w:rPr>
          <w:rFonts w:eastAsiaTheme="minorEastAsia"/>
        </w:rPr>
        <w:t xml:space="preserve"> EPS is low, but it is also consistent with ROE</w:t>
      </w:r>
      <w:r w:rsidR="003F7350" w:rsidRPr="003F7350">
        <w:rPr>
          <w:rFonts w:eastAsiaTheme="minorEastAsia"/>
        </w:rPr>
        <w:sym w:font="Wingdings" w:char="F0E8"/>
      </w:r>
      <w:r w:rsidR="003F7350">
        <w:rPr>
          <w:rFonts w:eastAsiaTheme="minorEastAsia"/>
        </w:rPr>
        <w:t>EPS=ROE*BE, which would imply EPS around $0.27.</w:t>
      </w:r>
      <w:r>
        <w:rPr>
          <w:rFonts w:eastAsiaTheme="minorEastAsia"/>
        </w:rPr>
        <w:t xml:space="preserve"> This is somewhat expected because the current year was rather problematic for all firms due to coronavirus. Considering a forward P/E ratio with </w:t>
      </w:r>
      <w:r w:rsidR="00DF79A1">
        <w:rPr>
          <w:rFonts w:eastAsiaTheme="minorEastAsia"/>
        </w:rPr>
        <w:t xml:space="preserve">normalized </w:t>
      </w:r>
      <w:r>
        <w:rPr>
          <w:rFonts w:eastAsiaTheme="minorEastAsia"/>
        </w:rPr>
        <w:t xml:space="preserve">earnings </w:t>
      </w:r>
      <w:r w:rsidR="00DF79A1">
        <w:rPr>
          <w:rFonts w:eastAsiaTheme="minorEastAsia"/>
        </w:rPr>
        <w:t>($0.85):</w:t>
      </w:r>
    </w:p>
    <w:p w:rsidR="00DF79A1" w:rsidRPr="00A713B8" w:rsidRDefault="00000000" w:rsidP="00CB2EAF">
      <w:pPr>
        <w:jc w:val="both"/>
      </w:pPr>
      <m:oMathPara>
        <m:oMath>
          <m:sSub>
            <m:sSubPr>
              <m:ctrlPr>
                <w:rPr>
                  <w:rFonts w:ascii="Cambria Math" w:hAnsi="Cambria Math"/>
                  <w:i/>
                </w:rPr>
              </m:ctrlPr>
            </m:sSubPr>
            <m:e>
              <m:r>
                <w:rPr>
                  <w:rFonts w:ascii="Cambria Math" w:hAnsi="Cambria Math"/>
                </w:rPr>
                <m:t>P</m:t>
              </m:r>
            </m:e>
            <m:sub>
              <m:r>
                <w:rPr>
                  <w:rFonts w:ascii="Cambria Math" w:hAnsi="Cambria Math"/>
                </w:rPr>
                <m:t>Twitter</m:t>
              </m:r>
            </m:sub>
          </m:sSub>
          <m:r>
            <w:rPr>
              <w:rFonts w:ascii="Cambria Math" w:hAnsi="Cambria Math"/>
            </w:rPr>
            <m:t>=92.26x$0.85=$78.42</m:t>
          </m:r>
        </m:oMath>
      </m:oMathPara>
    </w:p>
    <w:p w:rsidR="00CB2EAF" w:rsidRDefault="00CB2EAF" w:rsidP="00CB2EAF">
      <w:pPr>
        <w:jc w:val="both"/>
        <w:rPr>
          <w:i/>
        </w:rPr>
      </w:pPr>
      <w:r w:rsidRPr="000E1C9C">
        <w:rPr>
          <w:i/>
        </w:rPr>
        <w:t>Price Sales Ratio</w:t>
      </w:r>
    </w:p>
    <w:p w:rsidR="00CB2EAF" w:rsidRPr="003A0AAB" w:rsidRDefault="00000000" w:rsidP="00CB2EAF">
      <w:pPr>
        <w:jc w:val="both"/>
        <w:rPr>
          <w:rFonts w:eastAsiaTheme="minorEastAsia"/>
          <w:i/>
        </w:rPr>
      </w:pPr>
      <m:oMathPara>
        <m:oMath>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Snapchat</m:t>
              </m:r>
            </m:sub>
          </m:sSub>
          <m:r>
            <w:rPr>
              <w:rFonts w:ascii="Cambria Math" w:hAnsi="Cambria Math"/>
            </w:rPr>
            <m:t>=37.72&gt;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T</m:t>
              </m:r>
            </m:sub>
          </m:sSub>
          <m:r>
            <w:rPr>
              <w:rFonts w:ascii="Cambria Math" w:hAnsi="Cambria Math"/>
            </w:rPr>
            <m:t>&gt;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Facebook</m:t>
              </m:r>
            </m:sub>
          </m:sSub>
          <m:r>
            <w:rPr>
              <w:rFonts w:ascii="Cambria Math" w:hAnsi="Cambria Math"/>
            </w:rPr>
            <m:t>=8.89</m:t>
          </m:r>
        </m:oMath>
      </m:oMathPara>
    </w:p>
    <w:p w:rsidR="00CB2EAF" w:rsidRPr="0096373D" w:rsidRDefault="00CB2EAF" w:rsidP="00CB2EAF">
      <w:pPr>
        <w:jc w:val="both"/>
        <w:rPr>
          <w:rFonts w:eastAsiaTheme="minorEastAsia"/>
          <w:i/>
        </w:rPr>
      </w:pPr>
      <m:oMathPara>
        <m:oMath>
          <m:r>
            <w:rPr>
              <w:rFonts w:ascii="Cambria Math" w:hAnsi="Cambria Math"/>
            </w:rPr>
            <m:t>$175.78=4.66 x37.72&lt;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&lt;8.89</m:t>
          </m:r>
          <m:r>
            <w:rPr>
              <w:rFonts w:ascii="Cambria Math" w:eastAsiaTheme="minorEastAsia" w:hAnsi="Cambria Math"/>
            </w:rPr>
            <m:t xml:space="preserve"> x 4.66=$41.43</m:t>
          </m:r>
        </m:oMath>
      </m:oMathPara>
    </w:p>
    <w:p w:rsidR="0096373D" w:rsidRPr="0096373D" w:rsidRDefault="0096373D" w:rsidP="0096373D">
      <w:pPr>
        <w:jc w:val="both"/>
        <w:rPr>
          <w:rFonts w:eastAsiaTheme="minorEastAsia"/>
          <w:i/>
        </w:rPr>
      </w:pPr>
      <m:oMathPara>
        <m:oMath>
          <m:r>
            <w:rPr>
              <w:rFonts w:ascii="Cambria Math" w:hAnsi="Cambria Math"/>
            </w:rPr>
            <m:t xml:space="preserve">Average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=$108.61</m:t>
          </m:r>
        </m:oMath>
      </m:oMathPara>
    </w:p>
    <w:p w:rsidR="00CB2EAF" w:rsidRPr="0096373D" w:rsidRDefault="0096373D" w:rsidP="0096373D">
      <w:pPr>
        <w:jc w:val="both"/>
      </w:pPr>
      <w:r w:rsidRPr="0096373D">
        <w:rPr>
          <w:rFonts w:eastAsiaTheme="minorEastAsia"/>
        </w:rPr>
        <w:t>These</w:t>
      </w:r>
      <w:r>
        <w:rPr>
          <w:rFonts w:eastAsiaTheme="minorEastAsia"/>
        </w:rPr>
        <w:t xml:space="preserve"> valuations are rather wide in range and cannot be considered very reliable. The industry average (Damodaran, 14.85) might be more realistic than the average based on the two closest competitors. </w:t>
      </w:r>
    </w:p>
    <w:p w:rsidR="00CB2EAF" w:rsidRPr="003A0AAB" w:rsidRDefault="00000000" w:rsidP="00CB2EAF">
      <w:pPr>
        <w:jc w:val="both"/>
        <w:rPr>
          <w:rFonts w:eastAsiaTheme="minorEastAsia"/>
          <w:i/>
        </w:rPr>
      </w:pPr>
      <m:oMathPara>
        <m:oMath>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S</m:t>
                  </m:r>
                </m:den>
              </m:f>
            </m:e>
            <m:sub>
              <m:r>
                <w:rPr>
                  <w:rFonts w:ascii="Cambria Math" w:hAnsi="Cambria Math"/>
                </w:rPr>
                <m:t>Average</m:t>
              </m:r>
            </m:sub>
          </m:sSub>
          <m:r>
            <w:rPr>
              <w:rFonts w:ascii="Cambria Math" w:hAnsi="Cambria Math"/>
            </w:rPr>
            <m:t>=14.85→</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&lt;14.85</m:t>
          </m:r>
          <m:r>
            <w:rPr>
              <w:rFonts w:ascii="Cambria Math" w:eastAsiaTheme="minorEastAsia" w:hAnsi="Cambria Math"/>
            </w:rPr>
            <m:t xml:space="preserve"> x 4.66=$69.20</m:t>
          </m:r>
        </m:oMath>
      </m:oMathPara>
    </w:p>
    <w:p w:rsidR="00CB2EAF" w:rsidRDefault="0096373D" w:rsidP="002D6692">
      <w:pPr>
        <w:jc w:val="both"/>
      </w:pPr>
      <w:r>
        <w:t>This is surprisingly close to the market price. I would personally consider the valuations based on the normalized earnings and the average P/S as being more stable for the following reasons. The market seems to discount that the impact of covid will fade out quickly. Therefore, I would personally ignore the negative earnings this year because it is exceptional. In addition, the range of P/S of the closest peers (FB and Snapchat) is very wide and therefore, this valuation cannot be considered reliable.</w:t>
      </w:r>
    </w:p>
    <w:p w:rsidR="0096373D" w:rsidRDefault="00CB2EAF" w:rsidP="00CB2EAF">
      <w:pPr>
        <w:jc w:val="both"/>
      </w:pPr>
      <w:r>
        <w:t xml:space="preserve"> </w:t>
      </w:r>
    </w:p>
    <w:p w:rsidR="00CB2EAF" w:rsidRDefault="00CB2EAF" w:rsidP="00CB2EAF">
      <w:pPr>
        <w:jc w:val="both"/>
        <w:rPr>
          <w:i/>
        </w:rPr>
      </w:pPr>
      <w:r w:rsidRPr="000E1C9C">
        <w:rPr>
          <w:i/>
        </w:rPr>
        <w:t xml:space="preserve">Price </w:t>
      </w:r>
      <w:r>
        <w:rPr>
          <w:i/>
        </w:rPr>
        <w:t>MAU</w:t>
      </w:r>
    </w:p>
    <w:p w:rsidR="0096373D" w:rsidRDefault="0096373D" w:rsidP="00CB2EAF">
      <w:pPr>
        <w:jc w:val="both"/>
        <w:rPr>
          <w:i/>
        </w:rPr>
      </w:pPr>
      <w:r>
        <w:t xml:space="preserve">In this industry, what is considered to be a more reliable metric is the monthly active users. </w:t>
      </w:r>
    </w:p>
    <w:p w:rsidR="00CB2EAF" w:rsidRPr="003A0AAB" w:rsidRDefault="00000000" w:rsidP="00CB2EAF">
      <w:pPr>
        <w:jc w:val="both"/>
        <w:rPr>
          <w:rFonts w:eastAsiaTheme="minorEastAsia"/>
          <w:i/>
        </w:rPr>
      </w:pPr>
      <m:oMathPara>
        <m:oMath>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MAU</m:t>
                  </m:r>
                </m:den>
              </m:f>
            </m:e>
            <m:sub>
              <m:r>
                <w:rPr>
                  <w:rFonts w:ascii="Cambria Math" w:hAnsi="Cambria Math"/>
                </w:rPr>
                <m:t>Snapchat</m:t>
              </m:r>
            </m:sub>
          </m:sSub>
          <m:r>
            <w:rPr>
              <w:rFonts w:ascii="Cambria Math" w:hAnsi="Cambria Math"/>
            </w:rPr>
            <m:t>=</m:t>
          </m:r>
          <m:f>
            <m:fPr>
              <m:ctrlPr>
                <w:rPr>
                  <w:rFonts w:ascii="Cambria Math" w:hAnsi="Cambria Math"/>
                  <w:i/>
                </w:rPr>
              </m:ctrlPr>
            </m:fPr>
            <m:num>
              <m:r>
                <w:rPr>
                  <w:rFonts w:ascii="Cambria Math" w:hAnsi="Cambria Math"/>
                </w:rPr>
                <m:t>$94.56b</m:t>
              </m:r>
            </m:num>
            <m:den>
              <m:r>
                <w:rPr>
                  <w:rFonts w:ascii="Cambria Math" w:hAnsi="Cambria Math"/>
                </w:rPr>
                <m:t>364.6m</m:t>
              </m:r>
            </m:den>
          </m:f>
          <m:r>
            <w:rPr>
              <w:rFonts w:ascii="Cambria Math" w:hAnsi="Cambria Math"/>
            </w:rPr>
            <m:t>=259.35&lt;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MAU</m:t>
                  </m:r>
                </m:den>
              </m:f>
            </m:e>
            <m:sub>
              <m:r>
                <w:rPr>
                  <w:rFonts w:ascii="Cambria Math" w:hAnsi="Cambria Math"/>
                </w:rPr>
                <m:t>T</m:t>
              </m:r>
            </m:sub>
          </m:sSub>
          <m:r>
            <w:rPr>
              <w:rFonts w:ascii="Cambria Math" w:hAnsi="Cambria Math"/>
            </w:rPr>
            <m:t>&lt;</m:t>
          </m:r>
          <m:sSub>
            <m:sSubPr>
              <m:ctrlPr>
                <w:rPr>
                  <w:rFonts w:ascii="Cambria Math" w:hAnsi="Cambria Math"/>
                  <w:i/>
                </w:rPr>
              </m:ctrlPr>
            </m:sSubPr>
            <m:e>
              <m:f>
                <m:fPr>
                  <m:type m:val="skw"/>
                  <m:ctrlPr>
                    <w:rPr>
                      <w:rFonts w:ascii="Cambria Math" w:hAnsi="Cambria Math"/>
                      <w:i/>
                    </w:rPr>
                  </m:ctrlPr>
                </m:fPr>
                <m:num>
                  <m:r>
                    <w:rPr>
                      <w:rFonts w:ascii="Cambria Math" w:hAnsi="Cambria Math"/>
                    </w:rPr>
                    <m:t>P</m:t>
                  </m:r>
                </m:num>
                <m:den>
                  <m:r>
                    <w:rPr>
                      <w:rFonts w:ascii="Cambria Math" w:hAnsi="Cambria Math"/>
                    </w:rPr>
                    <m:t>MAU</m:t>
                  </m:r>
                </m:den>
              </m:f>
            </m:e>
            <m:sub>
              <m:r>
                <w:rPr>
                  <w:rFonts w:ascii="Cambria Math" w:hAnsi="Cambria Math"/>
                </w:rPr>
                <m:t>Facebook</m:t>
              </m:r>
            </m:sub>
          </m:sSub>
          <m:r>
            <w:rPr>
              <w:rFonts w:ascii="Cambria Math" w:hAnsi="Cambria Math"/>
            </w:rPr>
            <m:t>=</m:t>
          </m:r>
          <m:f>
            <m:fPr>
              <m:ctrlPr>
                <w:rPr>
                  <w:rFonts w:ascii="Cambria Math" w:hAnsi="Cambria Math"/>
                  <w:i/>
                </w:rPr>
              </m:ctrlPr>
            </m:fPr>
            <m:num>
              <m:r>
                <w:rPr>
                  <w:rFonts w:ascii="Cambria Math" w:hAnsi="Cambria Math"/>
                </w:rPr>
                <m:t>$764.31b</m:t>
              </m:r>
            </m:num>
            <m:den>
              <m:r>
                <w:rPr>
                  <w:rFonts w:ascii="Cambria Math" w:hAnsi="Cambria Math"/>
                </w:rPr>
                <m:t>2.797b</m:t>
              </m:r>
            </m:den>
          </m:f>
          <m:r>
            <w:rPr>
              <w:rFonts w:ascii="Cambria Math" w:hAnsi="Cambria Math"/>
            </w:rPr>
            <m:t>=273.26</m:t>
          </m:r>
        </m:oMath>
      </m:oMathPara>
    </w:p>
    <w:p w:rsidR="00CB2EAF" w:rsidRPr="003A0AAB" w:rsidRDefault="00CB2EAF" w:rsidP="00CB2EAF">
      <w:pPr>
        <w:jc w:val="both"/>
        <w:rPr>
          <w:rFonts w:eastAsiaTheme="minorEastAsia"/>
          <w:i/>
        </w:rPr>
      </w:pPr>
      <m:oMathPara>
        <m:oMath>
          <m:r>
            <w:rPr>
              <w:rFonts w:ascii="Cambria Math" w:hAnsi="Cambria Math"/>
            </w:rPr>
            <m:t>$83.61b=322.4m x 259.35&lt;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&lt;</m:t>
          </m:r>
          <m:r>
            <w:rPr>
              <w:rFonts w:ascii="Cambria Math" w:eastAsiaTheme="minorEastAsia" w:hAnsi="Cambria Math"/>
            </w:rPr>
            <m:t>273.26 x 322.4m=$88.09b</m:t>
          </m:r>
        </m:oMath>
      </m:oMathPara>
    </w:p>
    <w:p w:rsidR="00CB2EAF" w:rsidRPr="003A0AAB" w:rsidRDefault="00CB2EAF" w:rsidP="00CB2EAF">
      <w:pPr>
        <w:jc w:val="both"/>
        <w:rPr>
          <w:rFonts w:eastAsiaTheme="minorEastAsia"/>
          <w:i/>
        </w:rPr>
      </w:pPr>
      <m:oMathPara>
        <m:oMath>
          <m:r>
            <w:rPr>
              <w:rFonts w:ascii="Cambria Math" w:hAnsi="Cambria Math"/>
            </w:rPr>
            <m:t>$106.13=</m:t>
          </m:r>
          <m:f>
            <m:fPr>
              <m:ctrlPr>
                <w:rPr>
                  <w:rFonts w:ascii="Cambria Math" w:hAnsi="Cambria Math"/>
                  <w:i/>
                </w:rPr>
              </m:ctrlPr>
            </m:fPr>
            <m:num>
              <m:r>
                <w:rPr>
                  <w:rFonts w:ascii="Cambria Math" w:hAnsi="Cambria Math"/>
                </w:rPr>
                <m:t>$83.61b</m:t>
              </m:r>
            </m:num>
            <m:den>
              <m:r>
                <w:rPr>
                  <w:rFonts w:ascii="Cambria Math" w:hAnsi="Cambria Math"/>
                </w:rPr>
                <m:t>787.86m</m:t>
              </m:r>
            </m:den>
          </m:f>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T, per share</m:t>
              </m:r>
            </m:sub>
          </m:sSub>
          <m:r>
            <w:rPr>
              <w:rFonts w:ascii="Cambria Math" w:hAnsi="Cambria Math"/>
            </w:rPr>
            <m:t>&lt;</m:t>
          </m:r>
          <m:f>
            <m:fPr>
              <m:ctrlPr>
                <w:rPr>
                  <w:rFonts w:ascii="Cambria Math" w:hAnsi="Cambria Math"/>
                  <w:i/>
                </w:rPr>
              </m:ctrlPr>
            </m:fPr>
            <m:num>
              <m:r>
                <w:rPr>
                  <w:rFonts w:ascii="Cambria Math" w:hAnsi="Cambria Math"/>
                </w:rPr>
                <m:t>$88.09b</m:t>
              </m:r>
            </m:num>
            <m:den>
              <m:r>
                <w:rPr>
                  <w:rFonts w:ascii="Cambria Math" w:hAnsi="Cambria Math"/>
                </w:rPr>
                <m:t>787.86m</m:t>
              </m:r>
            </m:den>
          </m:f>
          <m:r>
            <w:rPr>
              <w:rFonts w:ascii="Cambria Math" w:eastAsiaTheme="minorEastAsia" w:hAnsi="Cambria Math"/>
            </w:rPr>
            <m:t>=$11.82</m:t>
          </m:r>
        </m:oMath>
      </m:oMathPara>
    </w:p>
    <w:p w:rsidR="00CB2EAF" w:rsidRPr="003A0AAB" w:rsidRDefault="00CB2EAF" w:rsidP="00CB2EAF">
      <w:pPr>
        <w:jc w:val="both"/>
        <w:rPr>
          <w:rFonts w:eastAsiaTheme="minorEastAsia"/>
          <w:i/>
        </w:rPr>
      </w:pPr>
      <m:oMathPara>
        <m:oMath>
          <m:r>
            <w:rPr>
              <w:rFonts w:ascii="Cambria Math" w:eastAsiaTheme="minorEastAsia" w:hAnsi="Cambria Math"/>
            </w:rPr>
            <m:t>Average=$108.98</m:t>
          </m:r>
        </m:oMath>
      </m:oMathPara>
    </w:p>
    <w:p w:rsidR="003F175D" w:rsidRDefault="00CB2EAF" w:rsidP="00CB2EAF">
      <w:pPr>
        <w:jc w:val="both"/>
      </w:pPr>
      <w:r>
        <w:t xml:space="preserve">This price is </w:t>
      </w:r>
      <w:r w:rsidR="003F175D">
        <w:t>rather</w:t>
      </w:r>
      <w:r>
        <w:t xml:space="preserve"> far from the market price and </w:t>
      </w:r>
      <w:r w:rsidR="003F175D">
        <w:t xml:space="preserve">it suggests a clear and strong buy. Personally, I do not know how much I would trust it. Looking more closely the figures in </w:t>
      </w:r>
      <w:r w:rsidR="003F175D" w:rsidRPr="003F175D">
        <w:rPr>
          <w:i/>
        </w:rPr>
        <w:t>statista</w:t>
      </w:r>
      <w:r w:rsidR="003F175D">
        <w:t xml:space="preserve"> regarding MAU, FB and Snapchat experience a steady growth</w:t>
      </w:r>
      <w:r w:rsidR="002631CF">
        <w:t xml:space="preserve">, while Twitter has experienced higher sales, but from a smaller number of users. They are expected to </w:t>
      </w:r>
      <w:hyperlink r:id="rId74" w:history="1">
        <w:r w:rsidR="002631CF" w:rsidRPr="002631CF">
          <w:rPr>
            <w:rStyle w:val="Hipervnculo"/>
          </w:rPr>
          <w:t>grow moderately</w:t>
        </w:r>
      </w:hyperlink>
      <w:r w:rsidR="002631CF">
        <w:t xml:space="preserve"> to around 340m. Consequently, it might not be directly comparable to FB and Snapchat. </w:t>
      </w:r>
    </w:p>
    <w:p w:rsidR="00724575" w:rsidRDefault="00724575" w:rsidP="00CB2EAF">
      <w:pPr>
        <w:jc w:val="both"/>
      </w:pPr>
      <w:r>
        <w:t>Collectively, I would consider only:</w:t>
      </w:r>
    </w:p>
    <w:tbl>
      <w:tblPr>
        <w:tblStyle w:val="Tablaconcuadrcula"/>
        <w:tblW w:w="0" w:type="auto"/>
        <w:tblLook w:val="04A0" w:firstRow="1" w:lastRow="0" w:firstColumn="1" w:lastColumn="0" w:noHBand="0" w:noVBand="1"/>
      </w:tblPr>
      <w:tblGrid>
        <w:gridCol w:w="4508"/>
        <w:gridCol w:w="4508"/>
      </w:tblGrid>
      <w:tr w:rsidR="00724575" w:rsidTr="00724575">
        <w:tc>
          <w:tcPr>
            <w:tcW w:w="4508" w:type="dxa"/>
            <w:vAlign w:val="center"/>
          </w:tcPr>
          <w:p w:rsidR="00724575" w:rsidRDefault="00724575" w:rsidP="00724575">
            <w:pPr>
              <w:jc w:val="center"/>
            </w:pPr>
            <w:r>
              <w:t>Multiple</w:t>
            </w:r>
          </w:p>
        </w:tc>
        <w:tc>
          <w:tcPr>
            <w:tcW w:w="4508" w:type="dxa"/>
            <w:vAlign w:val="center"/>
          </w:tcPr>
          <w:p w:rsidR="00724575" w:rsidRDefault="00724575" w:rsidP="00724575">
            <w:pPr>
              <w:jc w:val="center"/>
            </w:pPr>
            <w:r>
              <w:t>Implied Price</w:t>
            </w:r>
          </w:p>
        </w:tc>
      </w:tr>
      <w:tr w:rsidR="00724575" w:rsidTr="00724575">
        <w:tc>
          <w:tcPr>
            <w:tcW w:w="4508" w:type="dxa"/>
            <w:vAlign w:val="center"/>
          </w:tcPr>
          <w:p w:rsidR="00724575" w:rsidRDefault="00724575" w:rsidP="00724575">
            <w:pPr>
              <w:jc w:val="center"/>
            </w:pPr>
            <w:r>
              <w:t>P/E (normalized)</w:t>
            </w:r>
          </w:p>
        </w:tc>
        <w:tc>
          <w:tcPr>
            <w:tcW w:w="4508" w:type="dxa"/>
            <w:vAlign w:val="center"/>
          </w:tcPr>
          <w:p w:rsidR="00724575" w:rsidRDefault="00724575" w:rsidP="00724575">
            <w:pPr>
              <w:jc w:val="center"/>
            </w:pPr>
            <w:r>
              <w:t>$78.42</w:t>
            </w:r>
          </w:p>
        </w:tc>
      </w:tr>
      <w:tr w:rsidR="00724575" w:rsidTr="00724575">
        <w:tc>
          <w:tcPr>
            <w:tcW w:w="4508" w:type="dxa"/>
            <w:vAlign w:val="center"/>
          </w:tcPr>
          <w:p w:rsidR="00724575" w:rsidRDefault="00724575" w:rsidP="00724575">
            <w:pPr>
              <w:jc w:val="center"/>
            </w:pPr>
            <w:r>
              <w:t>P/S (average)</w:t>
            </w:r>
          </w:p>
        </w:tc>
        <w:tc>
          <w:tcPr>
            <w:tcW w:w="4508" w:type="dxa"/>
            <w:vAlign w:val="center"/>
          </w:tcPr>
          <w:p w:rsidR="00724575" w:rsidRDefault="00724575" w:rsidP="00724575">
            <w:pPr>
              <w:jc w:val="center"/>
            </w:pPr>
            <w:r>
              <w:t>$69.20</w:t>
            </w:r>
          </w:p>
        </w:tc>
      </w:tr>
      <w:tr w:rsidR="00724575" w:rsidTr="00724575">
        <w:tc>
          <w:tcPr>
            <w:tcW w:w="4508" w:type="dxa"/>
            <w:vAlign w:val="center"/>
          </w:tcPr>
          <w:p w:rsidR="00724575" w:rsidRDefault="00724575" w:rsidP="00724575">
            <w:pPr>
              <w:jc w:val="center"/>
            </w:pPr>
            <w:r>
              <w:t>Combined (Target Price)</w:t>
            </w:r>
          </w:p>
        </w:tc>
        <w:tc>
          <w:tcPr>
            <w:tcW w:w="4508" w:type="dxa"/>
            <w:vAlign w:val="center"/>
          </w:tcPr>
          <w:p w:rsidR="00724575" w:rsidRDefault="00724575" w:rsidP="00724575">
            <w:pPr>
              <w:jc w:val="center"/>
            </w:pPr>
            <w:r>
              <w:t>$73.81</w:t>
            </w:r>
          </w:p>
        </w:tc>
      </w:tr>
    </w:tbl>
    <w:p w:rsidR="00724575" w:rsidRDefault="00724575" w:rsidP="00CB2EAF">
      <w:pPr>
        <w:jc w:val="both"/>
      </w:pPr>
    </w:p>
    <w:p w:rsidR="00CB2EAF" w:rsidRDefault="00724575" w:rsidP="00724575">
      <w:pPr>
        <w:jc w:val="both"/>
      </w:pPr>
      <w:r>
        <w:t>The combined price ($73.81) is very close to the pick and it is a realistic expectation if the scenario assumed is realized. If, indeed, the impact of covid is temporary, then Twitter share price should be expected to raise.</w:t>
      </w:r>
    </w:p>
    <w:p w:rsidR="00CB2EAF" w:rsidRPr="003A0AAB" w:rsidRDefault="00CB2EAF" w:rsidP="00CB2EAF">
      <w:pPr>
        <w:jc w:val="both"/>
        <w:rPr>
          <w:b/>
        </w:rPr>
      </w:pPr>
      <w:r>
        <w:t xml:space="preserve"> </w:t>
      </w:r>
      <w:r w:rsidRPr="003A0AAB">
        <w:rPr>
          <w:b/>
        </w:rPr>
        <w:t>Fundamental Valuation</w:t>
      </w:r>
    </w:p>
    <w:p w:rsidR="00CB2EAF" w:rsidRDefault="00CB2EAF" w:rsidP="00CB2EAF">
      <w:pPr>
        <w:jc w:val="both"/>
        <w:rPr>
          <w:rFonts w:eastAsiaTheme="minorEastAsia"/>
        </w:rPr>
      </w:pPr>
      <w:r>
        <w:t xml:space="preserve">The cost of equity is: </w:t>
      </w:r>
    </w:p>
    <w:p w:rsidR="00CB2EAF" w:rsidRDefault="00000000" w:rsidP="00CB2EAF">
      <w:pPr>
        <w:jc w:val="both"/>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lang w:val="el-GR"/>
                </w:rPr>
                <m:t>β</m:t>
              </m:r>
            </m:e>
            <m:sub>
              <m:r>
                <w:rPr>
                  <w:rFonts w:ascii="Cambria Math" w:hAnsi="Cambria Math"/>
                </w:rPr>
                <m:t>l, FB</m:t>
              </m:r>
            </m:sub>
          </m:sSub>
          <m:r>
            <w:rPr>
              <w:rFonts w:ascii="Cambria Math" w:hAnsi="Cambria Math"/>
            </w:rPr>
            <m:t xml:space="preserve"> x MRP</m:t>
          </m:r>
          <m:r>
            <w:rPr>
              <w:rFonts w:ascii="Cambria Math" w:eastAsiaTheme="minorEastAsia" w:hAnsi="Cambria Math"/>
            </w:rPr>
            <m:t>=2+0.81 x 5.2=6.21%</m:t>
          </m:r>
        </m:oMath>
      </m:oMathPara>
    </w:p>
    <w:p w:rsidR="00D72D25" w:rsidRDefault="00D72D25" w:rsidP="00CB2EAF">
      <w:pPr>
        <w:jc w:val="both"/>
      </w:pPr>
      <w:r>
        <w:t xml:space="preserve">It is in general low, but this is driven by generally low interest rates. The general market consensus is that they will remain low for the time being. The recent QE that passed by the Baiden administration seems to be inline with the expectations. Remember, this valuation is as good as the inputs. If you do not agree with this view, then the final price is not the one you should follow. </w:t>
      </w:r>
    </w:p>
    <w:p w:rsidR="00DE40DA" w:rsidRDefault="00D72D25" w:rsidP="00CB2EAF">
      <w:pPr>
        <w:jc w:val="both"/>
      </w:pPr>
      <w:r>
        <w:t>In any case,</w:t>
      </w:r>
      <w:r w:rsidR="002A4B38">
        <w:t xml:space="preserve"> we follow </w:t>
      </w:r>
      <w:r>
        <w:t xml:space="preserve">the analysts forecasts for EPS and </w:t>
      </w:r>
      <w:r w:rsidR="002A4B38">
        <w:t xml:space="preserve">we assume that they will converge to </w:t>
      </w:r>
      <w:r>
        <w:t>stable grow</w:t>
      </w:r>
      <w:r w:rsidR="002A4B38">
        <w:t xml:space="preserve">th after 10 years (annual increment of -6%). The </w:t>
      </w:r>
      <w:r w:rsidR="00DE40DA">
        <w:t>implied</w:t>
      </w:r>
      <w:r w:rsidR="00C96107">
        <w:t xml:space="preserve"> equity re-</w:t>
      </w:r>
      <w:r w:rsidR="00DE40DA">
        <w:t>investment rate</w:t>
      </w:r>
      <w:r w:rsidR="002A4B38">
        <w:t xml:space="preserve"> will reach a stable level</w:t>
      </w:r>
      <w:r w:rsidR="00C96107">
        <w:t xml:space="preserve"> in the stable growth phase</w:t>
      </w:r>
      <w:r w:rsidR="00DE40DA">
        <w:t xml:space="preserve"> </w:t>
      </w:r>
      <w:r w:rsidR="00DA17A7">
        <w:t>(with long term ROE=12%)</w:t>
      </w:r>
      <w:r w:rsidR="00C96107">
        <w:t xml:space="preserve">: </w:t>
      </w:r>
      <m:oMath>
        <m:r>
          <w:rPr>
            <w:rFonts w:ascii="Cambria Math" w:hAnsi="Cambria Math"/>
          </w:rPr>
          <m:t>ERR stable=</m:t>
        </m:r>
        <m:f>
          <m:fPr>
            <m:ctrlPr>
              <w:rPr>
                <w:rFonts w:ascii="Cambria Math" w:hAnsi="Cambria Math"/>
                <w:i/>
              </w:rPr>
            </m:ctrlPr>
          </m:fPr>
          <m:num>
            <m:r>
              <w:rPr>
                <w:rFonts w:ascii="Cambria Math" w:hAnsi="Cambria Math"/>
              </w:rPr>
              <m:t>g</m:t>
            </m:r>
          </m:num>
          <m:den>
            <m:r>
              <w:rPr>
                <w:rFonts w:ascii="Cambria Math" w:hAnsi="Cambria Math"/>
              </w:rPr>
              <m:t>ROE</m:t>
            </m:r>
          </m:den>
        </m:f>
        <m:r>
          <w:rPr>
            <w:rFonts w:ascii="Cambria Math" w:hAnsi="Cambria Math"/>
          </w:rPr>
          <m:t>=</m:t>
        </m:r>
        <m:f>
          <m:fPr>
            <m:ctrlPr>
              <w:rPr>
                <w:rFonts w:ascii="Cambria Math" w:hAnsi="Cambria Math"/>
                <w:i/>
              </w:rPr>
            </m:ctrlPr>
          </m:fPr>
          <m:num>
            <m:r>
              <w:rPr>
                <w:rFonts w:ascii="Cambria Math" w:hAnsi="Cambria Math"/>
              </w:rPr>
              <m:t>0.05</m:t>
            </m:r>
          </m:num>
          <m:den>
            <m:r>
              <w:rPr>
                <w:rFonts w:ascii="Cambria Math" w:hAnsi="Cambria Math"/>
              </w:rPr>
              <m:t>0.12</m:t>
            </m:r>
          </m:den>
        </m:f>
        <m:r>
          <w:rPr>
            <w:rFonts w:ascii="Cambria Math" w:hAnsi="Cambria Math"/>
          </w:rPr>
          <m:t>=41.7%</m:t>
        </m:r>
      </m:oMath>
      <w:r w:rsidR="002A4B38">
        <w:rPr>
          <w:rFonts w:eastAsiaTheme="minorEastAsia"/>
        </w:rPr>
        <w:t xml:space="preserve"> </w:t>
      </w:r>
    </w:p>
    <w:p w:rsidR="00D72D25" w:rsidRDefault="00D72D25" w:rsidP="00CB2EAF">
      <w:pPr>
        <w:jc w:val="both"/>
      </w:pPr>
      <w:r>
        <w:t xml:space="preserve"> </w:t>
      </w:r>
      <w:r w:rsidR="00DA17A7">
        <w:t>T</w:t>
      </w:r>
      <w:r>
        <w:t>he share price should be:</w:t>
      </w:r>
    </w:p>
    <w:tbl>
      <w:tblPr>
        <w:tblW w:w="0" w:type="auto"/>
        <w:jc w:val="center"/>
        <w:tblLook w:val="04A0" w:firstRow="1" w:lastRow="0" w:firstColumn="1" w:lastColumn="0" w:noHBand="0" w:noVBand="1"/>
      </w:tblPr>
      <w:tblGrid>
        <w:gridCol w:w="1790"/>
        <w:gridCol w:w="1076"/>
        <w:gridCol w:w="1076"/>
        <w:gridCol w:w="1076"/>
        <w:gridCol w:w="1076"/>
        <w:gridCol w:w="1076"/>
        <w:gridCol w:w="1076"/>
      </w:tblGrid>
      <w:tr w:rsidR="002D524F" w:rsidRPr="002D524F" w:rsidTr="002D524F">
        <w:trPr>
          <w:trHeight w:val="20"/>
          <w:jc w:val="center"/>
        </w:trPr>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ke</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growth</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47.00%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41.00%</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Sales</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lang w:eastAsia="en-GB"/>
              </w:rPr>
            </w:pPr>
            <w:r w:rsidRPr="002D524F">
              <w:rPr>
                <w:rFonts w:ascii="Times New Roman" w:eastAsia="Times New Roman" w:hAnsi="Times New Roman" w:cs="Times New Roman"/>
                <w:color w:val="000000"/>
                <w:lang w:eastAsia="en-GB"/>
              </w:rPr>
              <w:t>4.66</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7.46</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11.71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17.91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26.33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37.12</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0.05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0.05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0.05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15.00%</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NI</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(1.44)</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0.56</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0.88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1.35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1.90</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NetCapEx/Sales</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NWC/Sales</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ERR</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δ</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NetCapEx</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0.52</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0.81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1.24</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1.83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2.58</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ΔΝWC</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0.45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0.66</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0.89</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1.14</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FCFE</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-0.43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-0.53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-0.66</w:t>
            </w:r>
          </w:p>
        </w:tc>
      </w:tr>
      <w:tr w:rsidR="002D524F" w:rsidRPr="002D524F" w:rsidTr="002D524F">
        <w:trPr>
          <w:trHeight w:val="20"/>
          <w:jc w:val="center"/>
        </w:trPr>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DF</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-0.18766</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-0.24495</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-0.30093</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-0.32567</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-0.36415</w:t>
            </w:r>
          </w:p>
        </w:tc>
      </w:tr>
      <w:tr w:rsidR="002D524F" w:rsidRPr="002D524F" w:rsidTr="002D524F">
        <w:trPr>
          <w:trHeight w:val="20"/>
          <w:jc w:val="center"/>
        </w:trPr>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7</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8</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9</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11</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ke</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6.21%</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growth</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35.00%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29.00%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17.00%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Sales</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50.11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64.65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79.52</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93.04</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103.27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108.43</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23.83%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23.83%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23.83%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23.83%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23.83%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23.83%</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NI</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2.57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3.31</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4.08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4.77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5.30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5.56</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NetCapEx/Sales</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6.95%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NWC/Sales</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10.58%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ERR</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41.70%</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δ</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31.00%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NetCapEx</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3.48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4.49</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5.53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6.47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7.18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ΔΝWC</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1.37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1.54</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1.57</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1.43</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1.08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FCFE</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-0.78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-0.85</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-0.82</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-0.68</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-0.40</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3.24</w:t>
            </w:r>
          </w:p>
        </w:tc>
      </w:tr>
      <w:tr w:rsidR="002D524F" w:rsidRPr="002D524F" w:rsidTr="002D524F">
        <w:trPr>
          <w:trHeight w:val="20"/>
          <w:jc w:val="center"/>
        </w:trPr>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DF</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-0.37984</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-0.36441</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-0.31359</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-0.22944</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-0.12127</w:t>
            </w:r>
          </w:p>
        </w:tc>
        <w:tc>
          <w:tcPr>
            <w:tcW w:w="0" w:type="auto"/>
            <w:tcBorders>
              <w:top w:val="nil"/>
              <w:left w:val="nil"/>
              <w:bottom w:val="single" w:sz="8" w:space="0" w:color="auto"/>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54.3487</w:t>
            </w:r>
          </w:p>
        </w:tc>
      </w:tr>
      <w:tr w:rsidR="002D524F" w:rsidRPr="002D524F" w:rsidTr="002D524F">
        <w:trPr>
          <w:trHeight w:val="20"/>
          <w:jc w:val="center"/>
        </w:trPr>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sz w:val="24"/>
                <w:szCs w:val="24"/>
                <w:lang w:eastAsia="en-GB"/>
              </w:rPr>
            </w:pPr>
            <w:r w:rsidRPr="002D524F">
              <w:rPr>
                <w:rFonts w:ascii="Times New Roman" w:eastAsia="Times New Roman" w:hAnsi="Times New Roman" w:cs="Times New Roman"/>
                <w:color w:val="000000"/>
                <w:sz w:val="24"/>
                <w:szCs w:val="24"/>
                <w:lang w:eastAsia="en-GB"/>
              </w:rPr>
              <w:t>Price</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lang w:eastAsia="en-GB"/>
              </w:rPr>
            </w:pPr>
            <w:r w:rsidRPr="002D524F">
              <w:rPr>
                <w:rFonts w:ascii="Times New Roman" w:eastAsia="Times New Roman" w:hAnsi="Times New Roman" w:cs="Times New Roman"/>
                <w:color w:val="000000"/>
                <w:lang w:eastAsia="en-GB"/>
              </w:rPr>
              <w:t>$   51.52</w:t>
            </w: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color w:val="00000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c>
          <w:tcPr>
            <w:tcW w:w="0" w:type="auto"/>
            <w:tcBorders>
              <w:top w:val="nil"/>
              <w:left w:val="nil"/>
              <w:bottom w:val="nil"/>
              <w:right w:val="nil"/>
            </w:tcBorders>
            <w:noWrap/>
            <w:vAlign w:val="center"/>
            <w:hideMark/>
          </w:tcPr>
          <w:p w:rsidR="002D524F" w:rsidRPr="002D524F" w:rsidRDefault="002D524F" w:rsidP="002D524F">
            <w:pPr>
              <w:spacing w:after="0" w:line="240" w:lineRule="auto"/>
              <w:jc w:val="center"/>
              <w:rPr>
                <w:rFonts w:ascii="Times New Roman" w:eastAsia="Times New Roman" w:hAnsi="Times New Roman" w:cs="Times New Roman"/>
                <w:sz w:val="20"/>
                <w:szCs w:val="20"/>
                <w:lang w:eastAsia="en-GB"/>
              </w:rPr>
            </w:pPr>
          </w:p>
        </w:tc>
      </w:tr>
    </w:tbl>
    <w:p w:rsidR="002D524F" w:rsidRDefault="00CB2EAF" w:rsidP="00CB2EAF">
      <w:pPr>
        <w:jc w:val="both"/>
      </w:pPr>
      <w:r>
        <w:t xml:space="preserve">The fundamental Valuation </w:t>
      </w:r>
      <w:r w:rsidR="002D524F">
        <w:t>is below the market price and suggests a sell. Combined with the target price from Relative valuation</w:t>
      </w:r>
    </w:p>
    <w:tbl>
      <w:tblPr>
        <w:tblStyle w:val="Tablaconcuadrcula"/>
        <w:tblW w:w="0" w:type="auto"/>
        <w:tblLook w:val="04A0" w:firstRow="1" w:lastRow="0" w:firstColumn="1" w:lastColumn="0" w:noHBand="0" w:noVBand="1"/>
      </w:tblPr>
      <w:tblGrid>
        <w:gridCol w:w="4508"/>
        <w:gridCol w:w="4508"/>
      </w:tblGrid>
      <w:tr w:rsidR="002D524F" w:rsidTr="002D524F">
        <w:tc>
          <w:tcPr>
            <w:tcW w:w="4508" w:type="dxa"/>
          </w:tcPr>
          <w:p w:rsidR="002D524F" w:rsidRDefault="002D524F" w:rsidP="00CB2EAF">
            <w:pPr>
              <w:jc w:val="both"/>
            </w:pPr>
            <w:r>
              <w:t>Relative Valuation</w:t>
            </w:r>
          </w:p>
        </w:tc>
        <w:tc>
          <w:tcPr>
            <w:tcW w:w="4508" w:type="dxa"/>
          </w:tcPr>
          <w:p w:rsidR="002D524F" w:rsidRDefault="002D524F" w:rsidP="00CB2EAF">
            <w:pPr>
              <w:jc w:val="both"/>
            </w:pPr>
            <w:r>
              <w:t>$73.81</w:t>
            </w:r>
          </w:p>
        </w:tc>
      </w:tr>
      <w:tr w:rsidR="002D524F" w:rsidTr="002D524F">
        <w:tc>
          <w:tcPr>
            <w:tcW w:w="4508" w:type="dxa"/>
          </w:tcPr>
          <w:p w:rsidR="002D524F" w:rsidRDefault="002D524F" w:rsidP="00CB2EAF">
            <w:pPr>
              <w:jc w:val="both"/>
            </w:pPr>
            <w:r>
              <w:t>DCF</w:t>
            </w:r>
          </w:p>
        </w:tc>
        <w:tc>
          <w:tcPr>
            <w:tcW w:w="4508" w:type="dxa"/>
          </w:tcPr>
          <w:p w:rsidR="002D524F" w:rsidRDefault="002D524F" w:rsidP="00CB2EAF">
            <w:pPr>
              <w:jc w:val="both"/>
            </w:pPr>
            <w:r>
              <w:t>51.52</w:t>
            </w:r>
          </w:p>
        </w:tc>
      </w:tr>
      <w:tr w:rsidR="002D524F" w:rsidTr="002D524F">
        <w:tc>
          <w:tcPr>
            <w:tcW w:w="4508" w:type="dxa"/>
          </w:tcPr>
          <w:p w:rsidR="002D524F" w:rsidRDefault="002D524F" w:rsidP="00CB2EAF">
            <w:pPr>
              <w:jc w:val="both"/>
            </w:pPr>
            <w:r>
              <w:t>Combined</w:t>
            </w:r>
          </w:p>
        </w:tc>
        <w:tc>
          <w:tcPr>
            <w:tcW w:w="4508" w:type="dxa"/>
          </w:tcPr>
          <w:p w:rsidR="002D524F" w:rsidRDefault="002D524F" w:rsidP="00CB2EAF">
            <w:pPr>
              <w:jc w:val="both"/>
            </w:pPr>
            <w:r>
              <w:t>$62.67</w:t>
            </w:r>
          </w:p>
        </w:tc>
      </w:tr>
    </w:tbl>
    <w:p w:rsidR="002D524F" w:rsidRDefault="002D524F" w:rsidP="00CB2EAF">
      <w:pPr>
        <w:jc w:val="both"/>
      </w:pPr>
    </w:p>
    <w:p w:rsidR="002D524F" w:rsidRDefault="002D524F" w:rsidP="002D524F">
      <w:pPr>
        <w:jc w:val="both"/>
      </w:pPr>
      <w:r>
        <w:t xml:space="preserve">Consequently, it is rather a hold. This years recommendations </w:t>
      </w:r>
      <w:r w:rsidR="004A7CBE">
        <w:t xml:space="preserve">are in line with this valuation. The DCF seems to be on the low end, while the relative valuation seems to cover the mid to high range. </w:t>
      </w:r>
    </w:p>
    <w:p w:rsidR="00CB2EAF" w:rsidRDefault="002D524F" w:rsidP="00660839">
      <w:pPr>
        <w:jc w:val="center"/>
      </w:pPr>
      <w:r>
        <w:rPr>
          <w:noProof/>
          <w:lang w:eastAsia="en-GB"/>
        </w:rPr>
        <w:drawing>
          <wp:inline distT="0" distB="0" distL="0" distR="0" wp14:anchorId="2485470C" wp14:editId="14EE9321">
            <wp:extent cx="5027273" cy="1809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4238" t="36047" r="8016" b="17865"/>
                    <a:stretch/>
                  </pic:blipFill>
                  <pic:spPr bwMode="auto">
                    <a:xfrm>
                      <a:off x="0" y="0"/>
                      <a:ext cx="5032062" cy="1811474"/>
                    </a:xfrm>
                    <a:prstGeom prst="rect">
                      <a:avLst/>
                    </a:prstGeom>
                    <a:ln>
                      <a:noFill/>
                    </a:ln>
                    <a:extLst>
                      <a:ext uri="{53640926-AAD7-44D8-BBD7-CCE9431645EC}">
                        <a14:shadowObscured xmlns:a14="http://schemas.microsoft.com/office/drawing/2010/main"/>
                      </a:ext>
                    </a:extLst>
                  </pic:spPr>
                </pic:pic>
              </a:graphicData>
            </a:graphic>
          </wp:inline>
        </w:drawing>
      </w:r>
    </w:p>
    <w:p w:rsidR="002D524F" w:rsidRDefault="002D524F" w:rsidP="00660839">
      <w:pPr>
        <w:jc w:val="center"/>
      </w:pPr>
      <w:r>
        <w:rPr>
          <w:noProof/>
          <w:lang w:eastAsia="en-GB"/>
        </w:rPr>
        <mc:AlternateContent>
          <mc:Choice Requires="wps">
            <w:drawing>
              <wp:inline distT="0" distB="0" distL="0" distR="0" wp14:anchorId="76058252" wp14:editId="74C6A3B7">
                <wp:extent cx="304800" cy="304800"/>
                <wp:effectExtent l="0" t="0" r="0" b="0"/>
                <wp:docPr id="11" name="Rectangle 11" descr="https://markets.money.cnn.com/cgi-bin/upload.dll/file.png?z6f8f7c0az9de72565aa5a4b08a53b7db09ca580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DA27F" id="Rectangle 11" o:spid="_x0000_s1026" alt="https://markets.money.cnn.com/cgi-bin/upload.dll/file.png?z6f8f7c0az9de72565aa5a4b08a53b7db09ca5805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60839">
        <w:rPr>
          <w:noProof/>
          <w:lang w:eastAsia="en-GB"/>
        </w:rPr>
        <w:drawing>
          <wp:inline distT="0" distB="0" distL="0" distR="0" wp14:anchorId="4954B511" wp14:editId="06F553AA">
            <wp:extent cx="5100320" cy="1843087"/>
            <wp:effectExtent l="0"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4986" t="25705" r="6022" b="28206"/>
                    <a:stretch/>
                  </pic:blipFill>
                  <pic:spPr bwMode="auto">
                    <a:xfrm>
                      <a:off x="0" y="0"/>
                      <a:ext cx="5103400" cy="1844200"/>
                    </a:xfrm>
                    <a:prstGeom prst="rect">
                      <a:avLst/>
                    </a:prstGeom>
                    <a:ln>
                      <a:noFill/>
                    </a:ln>
                    <a:extLst>
                      <a:ext uri="{53640926-AAD7-44D8-BBD7-CCE9431645EC}">
                        <a14:shadowObscured xmlns:a14="http://schemas.microsoft.com/office/drawing/2010/main"/>
                      </a:ext>
                    </a:extLst>
                  </pic:spPr>
                </pic:pic>
              </a:graphicData>
            </a:graphic>
          </wp:inline>
        </w:drawing>
      </w:r>
    </w:p>
    <w:p w:rsidR="004A7CBE" w:rsidRDefault="004A7CBE" w:rsidP="00660839">
      <w:pPr>
        <w:jc w:val="center"/>
      </w:pPr>
      <w:r>
        <w:rPr>
          <w:noProof/>
          <w:lang w:eastAsia="en-GB"/>
        </w:rPr>
        <w:drawing>
          <wp:inline distT="0" distB="0" distL="0" distR="0" wp14:anchorId="46F96BBA" wp14:editId="69A6A96A">
            <wp:extent cx="3448050" cy="1762125"/>
            <wp:effectExtent l="0" t="0" r="0" b="9525"/>
            <wp:docPr id="14" name="Picture 14" descr="https://markets.money.cnn.com/cgi-bin/upload.dll/file.png?z6f8f7c0az9de72565aa5a4b08a53b7db09ca5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rkets.money.cnn.com/cgi-bin/upload.dll/file.png?z6f8f7c0az9de72565aa5a4b08a53b7db09ca5805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48050" cy="1762125"/>
                    </a:xfrm>
                    <a:prstGeom prst="rect">
                      <a:avLst/>
                    </a:prstGeom>
                    <a:noFill/>
                    <a:ln>
                      <a:noFill/>
                    </a:ln>
                  </pic:spPr>
                </pic:pic>
              </a:graphicData>
            </a:graphic>
          </wp:inline>
        </w:drawing>
      </w:r>
    </w:p>
    <w:p w:rsidR="003A0AAB" w:rsidRDefault="004A7CBE" w:rsidP="003A0AAB">
      <w:pPr>
        <w:jc w:val="both"/>
      </w:pPr>
      <w:r>
        <w:t>I would probably conclude that Twitter is a hold maybe sell. I do not believe that that target price of around $70 can be justified. I do believe that it is the outcome of an intensive QE program. In our valuation, this is reflected into a rather low discount rate. Even with that, the price is still lower than the market or the target (analysts) price. Therefore, I am more inclined to be on the conservative side.</w:t>
      </w:r>
    </w:p>
    <w:p w:rsidR="00471FBF" w:rsidRDefault="00471FBF" w:rsidP="003A0AAB">
      <w:pPr>
        <w:jc w:val="both"/>
      </w:pPr>
      <w:r>
        <w:t>March 2022</w:t>
      </w:r>
    </w:p>
    <w:p w:rsidR="00471FBF" w:rsidRDefault="00471FBF" w:rsidP="003A0AAB">
      <w:pPr>
        <w:jc w:val="both"/>
      </w:pPr>
      <w:r>
        <w:t>This is the evolution of price since last valuation</w:t>
      </w:r>
    </w:p>
    <w:p w:rsidR="00471FBF" w:rsidRDefault="00471FBF" w:rsidP="00471FBF">
      <w:pPr>
        <w:jc w:val="center"/>
      </w:pPr>
      <w:r>
        <w:rPr>
          <w:noProof/>
        </w:rPr>
        <w:drawing>
          <wp:inline distT="0" distB="0" distL="0" distR="0" wp14:anchorId="06776C09" wp14:editId="161157AF">
            <wp:extent cx="5306227" cy="2689860"/>
            <wp:effectExtent l="0" t="0" r="889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rotWithShape="1">
                    <a:blip r:embed="rId78"/>
                    <a:srcRect l="24596" t="18081" r="3412" b="17038"/>
                    <a:stretch/>
                  </pic:blipFill>
                  <pic:spPr bwMode="auto">
                    <a:xfrm>
                      <a:off x="0" y="0"/>
                      <a:ext cx="5312079" cy="2692827"/>
                    </a:xfrm>
                    <a:prstGeom prst="rect">
                      <a:avLst/>
                    </a:prstGeom>
                    <a:ln>
                      <a:noFill/>
                    </a:ln>
                    <a:extLst>
                      <a:ext uri="{53640926-AAD7-44D8-BBD7-CCE9431645EC}">
                        <a14:shadowObscured xmlns:a14="http://schemas.microsoft.com/office/drawing/2010/main"/>
                      </a:ext>
                    </a:extLst>
                  </pic:spPr>
                </pic:pic>
              </a:graphicData>
            </a:graphic>
          </wp:inline>
        </w:drawing>
      </w:r>
    </w:p>
    <w:p w:rsidR="00471FBF" w:rsidRDefault="00471FBF" w:rsidP="00471FBF">
      <w:pPr>
        <w:jc w:val="both"/>
      </w:pPr>
      <w:r>
        <w:t>This time the valuation was on the right direction. Of course, since January 2022 there is the war in Ukraine, but still, you can observe that after a big swing in the first quarter of 2021 there is a clear trend towards the DCF valuation. In fact even lower. Excluding the war in Ukraine period, the target price seems to be around the low $40’s.</w:t>
      </w:r>
    </w:p>
    <w:p w:rsidR="00471FBF" w:rsidRDefault="00471FBF" w:rsidP="00471FBF">
      <w:pPr>
        <w:jc w:val="both"/>
      </w:pPr>
      <w:r>
        <w:t>Again, nobody can know with certainty what will happen in the future. However, we can formulate an informed guess. The final outcome of valuation should be linked to the assumptions we make and how plausible they are.</w:t>
      </w:r>
    </w:p>
    <w:p w:rsidR="00DE36EC" w:rsidRDefault="00DE36EC">
      <w:r>
        <w:br w:type="page"/>
      </w:r>
    </w:p>
    <w:p w:rsidR="00DE36EC" w:rsidRDefault="00DE36EC" w:rsidP="00471FBF">
      <w:pPr>
        <w:jc w:val="both"/>
      </w:pPr>
      <w:r>
        <w:t>September 2025</w:t>
      </w:r>
    </w:p>
    <w:p w:rsidR="00DE36EC" w:rsidRDefault="00DE36EC" w:rsidP="00471FBF">
      <w:pPr>
        <w:jc w:val="both"/>
      </w:pPr>
    </w:p>
    <w:sectPr w:rsidR="00DE36EC">
      <w:footerReference w:type="default" r:id="rId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2CA1" w:rsidRDefault="00052CA1" w:rsidP="005C6DA1">
      <w:pPr>
        <w:spacing w:after="0" w:line="240" w:lineRule="auto"/>
      </w:pPr>
      <w:r>
        <w:separator/>
      </w:r>
    </w:p>
  </w:endnote>
  <w:endnote w:type="continuationSeparator" w:id="0">
    <w:p w:rsidR="00052CA1" w:rsidRDefault="00052CA1" w:rsidP="005C6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20748"/>
      <w:docPartObj>
        <w:docPartGallery w:val="Page Numbers (Bottom of Page)"/>
        <w:docPartUnique/>
      </w:docPartObj>
    </w:sdtPr>
    <w:sdtEndPr>
      <w:rPr>
        <w:noProof/>
      </w:rPr>
    </w:sdtEndPr>
    <w:sdtContent>
      <w:p w:rsidR="00723841" w:rsidRDefault="00723841">
        <w:pPr>
          <w:pStyle w:val="Piedepgina"/>
          <w:jc w:val="center"/>
        </w:pPr>
        <w:r>
          <w:fldChar w:fldCharType="begin"/>
        </w:r>
        <w:r>
          <w:instrText xml:space="preserve"> PAGE   \* MERGEFORMAT </w:instrText>
        </w:r>
        <w:r>
          <w:fldChar w:fldCharType="separate"/>
        </w:r>
        <w:r w:rsidR="00EB533D">
          <w:rPr>
            <w:noProof/>
          </w:rPr>
          <w:t>4</w:t>
        </w:r>
        <w:r>
          <w:rPr>
            <w:noProof/>
          </w:rPr>
          <w:fldChar w:fldCharType="end"/>
        </w:r>
      </w:p>
    </w:sdtContent>
  </w:sdt>
  <w:p w:rsidR="00723841" w:rsidRDefault="007238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2CA1" w:rsidRDefault="00052CA1" w:rsidP="005C6DA1">
      <w:pPr>
        <w:spacing w:after="0" w:line="240" w:lineRule="auto"/>
      </w:pPr>
      <w:r>
        <w:separator/>
      </w:r>
    </w:p>
  </w:footnote>
  <w:footnote w:type="continuationSeparator" w:id="0">
    <w:p w:rsidR="00052CA1" w:rsidRDefault="00052CA1" w:rsidP="005C6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761"/>
    <w:multiLevelType w:val="hybridMultilevel"/>
    <w:tmpl w:val="3ADED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E5D67"/>
    <w:multiLevelType w:val="hybridMultilevel"/>
    <w:tmpl w:val="FE3C1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981AFB"/>
    <w:multiLevelType w:val="hybridMultilevel"/>
    <w:tmpl w:val="2E5282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3086043">
    <w:abstractNumId w:val="1"/>
  </w:num>
  <w:num w:numId="2" w16cid:durableId="1544436961">
    <w:abstractNumId w:val="2"/>
  </w:num>
  <w:num w:numId="3" w16cid:durableId="176136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fr-FR"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0A4"/>
    <w:rsid w:val="00052334"/>
    <w:rsid w:val="00052CA1"/>
    <w:rsid w:val="000E1C9C"/>
    <w:rsid w:val="0012261F"/>
    <w:rsid w:val="001319A3"/>
    <w:rsid w:val="001324D5"/>
    <w:rsid w:val="001331B7"/>
    <w:rsid w:val="001A137C"/>
    <w:rsid w:val="00201BC8"/>
    <w:rsid w:val="00203B6B"/>
    <w:rsid w:val="00261F71"/>
    <w:rsid w:val="002631CF"/>
    <w:rsid w:val="002904A5"/>
    <w:rsid w:val="002954EF"/>
    <w:rsid w:val="002A4B38"/>
    <w:rsid w:val="002C1061"/>
    <w:rsid w:val="002C455A"/>
    <w:rsid w:val="002D524F"/>
    <w:rsid w:val="002D6692"/>
    <w:rsid w:val="002E1638"/>
    <w:rsid w:val="002F02C5"/>
    <w:rsid w:val="0032015C"/>
    <w:rsid w:val="003431C8"/>
    <w:rsid w:val="00361C0E"/>
    <w:rsid w:val="0036672B"/>
    <w:rsid w:val="00375EB7"/>
    <w:rsid w:val="003871DF"/>
    <w:rsid w:val="003A0AAB"/>
    <w:rsid w:val="003F175D"/>
    <w:rsid w:val="003F7350"/>
    <w:rsid w:val="0041503F"/>
    <w:rsid w:val="00471FBF"/>
    <w:rsid w:val="004A7CBE"/>
    <w:rsid w:val="004D5FFF"/>
    <w:rsid w:val="004F0D88"/>
    <w:rsid w:val="00507632"/>
    <w:rsid w:val="005274CD"/>
    <w:rsid w:val="00532964"/>
    <w:rsid w:val="005C6DA1"/>
    <w:rsid w:val="005D7425"/>
    <w:rsid w:val="005F1EBC"/>
    <w:rsid w:val="00605B09"/>
    <w:rsid w:val="00617F5C"/>
    <w:rsid w:val="00621858"/>
    <w:rsid w:val="0062347E"/>
    <w:rsid w:val="00637FDB"/>
    <w:rsid w:val="006443F3"/>
    <w:rsid w:val="00660839"/>
    <w:rsid w:val="006F314D"/>
    <w:rsid w:val="00723841"/>
    <w:rsid w:val="00724575"/>
    <w:rsid w:val="007837EE"/>
    <w:rsid w:val="007B2F4D"/>
    <w:rsid w:val="007D0AE3"/>
    <w:rsid w:val="007D4079"/>
    <w:rsid w:val="00812BF8"/>
    <w:rsid w:val="008504C9"/>
    <w:rsid w:val="008531BF"/>
    <w:rsid w:val="0086134F"/>
    <w:rsid w:val="00884552"/>
    <w:rsid w:val="008A6938"/>
    <w:rsid w:val="008C03C9"/>
    <w:rsid w:val="008D1C1E"/>
    <w:rsid w:val="00934954"/>
    <w:rsid w:val="00953EBE"/>
    <w:rsid w:val="0096373D"/>
    <w:rsid w:val="009E3AF9"/>
    <w:rsid w:val="00A0137C"/>
    <w:rsid w:val="00A114B9"/>
    <w:rsid w:val="00A13FB0"/>
    <w:rsid w:val="00A2208A"/>
    <w:rsid w:val="00A22A2C"/>
    <w:rsid w:val="00A6329E"/>
    <w:rsid w:val="00A640A4"/>
    <w:rsid w:val="00A713B8"/>
    <w:rsid w:val="00A7438B"/>
    <w:rsid w:val="00AE2A04"/>
    <w:rsid w:val="00B0066F"/>
    <w:rsid w:val="00B1089D"/>
    <w:rsid w:val="00B26E22"/>
    <w:rsid w:val="00B5612D"/>
    <w:rsid w:val="00B650C7"/>
    <w:rsid w:val="00B73FEA"/>
    <w:rsid w:val="00B93B23"/>
    <w:rsid w:val="00C408FC"/>
    <w:rsid w:val="00C5324D"/>
    <w:rsid w:val="00C803EE"/>
    <w:rsid w:val="00C96107"/>
    <w:rsid w:val="00CA0925"/>
    <w:rsid w:val="00CB2EAF"/>
    <w:rsid w:val="00D16FE3"/>
    <w:rsid w:val="00D433DA"/>
    <w:rsid w:val="00D72D25"/>
    <w:rsid w:val="00D94AE4"/>
    <w:rsid w:val="00DA17A7"/>
    <w:rsid w:val="00DB5FAA"/>
    <w:rsid w:val="00DB6F1B"/>
    <w:rsid w:val="00DC1243"/>
    <w:rsid w:val="00DC3BA3"/>
    <w:rsid w:val="00DE36EC"/>
    <w:rsid w:val="00DE40DA"/>
    <w:rsid w:val="00DF79A1"/>
    <w:rsid w:val="00E23DD3"/>
    <w:rsid w:val="00E27B04"/>
    <w:rsid w:val="00E569EA"/>
    <w:rsid w:val="00E64DB6"/>
    <w:rsid w:val="00E95628"/>
    <w:rsid w:val="00EB4338"/>
    <w:rsid w:val="00EB533D"/>
    <w:rsid w:val="00EC1A15"/>
    <w:rsid w:val="00EC618B"/>
    <w:rsid w:val="00F54DC2"/>
    <w:rsid w:val="00FD7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7C22"/>
  <w15:docId w15:val="{713AE130-2ADC-4422-A883-812AC46E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640A4"/>
    <w:rPr>
      <w:color w:val="0000FF" w:themeColor="hyperlink"/>
      <w:u w:val="single"/>
    </w:rPr>
  </w:style>
  <w:style w:type="paragraph" w:styleId="Prrafodelista">
    <w:name w:val="List Paragraph"/>
    <w:basedOn w:val="Normal"/>
    <w:uiPriority w:val="34"/>
    <w:qFormat/>
    <w:rsid w:val="00C408FC"/>
    <w:pPr>
      <w:ind w:left="720"/>
      <w:contextualSpacing/>
    </w:pPr>
  </w:style>
  <w:style w:type="table" w:styleId="Tablaconcuadrcula">
    <w:name w:val="Table Grid"/>
    <w:basedOn w:val="Tablanormal"/>
    <w:uiPriority w:val="59"/>
    <w:rsid w:val="00131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8531B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extodeglobo">
    <w:name w:val="Balloon Text"/>
    <w:basedOn w:val="Normal"/>
    <w:link w:val="TextodegloboCar"/>
    <w:uiPriority w:val="99"/>
    <w:semiHidden/>
    <w:unhideWhenUsed/>
    <w:rsid w:val="002C106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1061"/>
    <w:rPr>
      <w:rFonts w:ascii="Segoe UI" w:hAnsi="Segoe UI" w:cs="Segoe UI"/>
      <w:sz w:val="18"/>
      <w:szCs w:val="18"/>
    </w:rPr>
  </w:style>
  <w:style w:type="character" w:styleId="Textodelmarcadordeposicin">
    <w:name w:val="Placeholder Text"/>
    <w:basedOn w:val="Fuentedeprrafopredeter"/>
    <w:uiPriority w:val="99"/>
    <w:semiHidden/>
    <w:rsid w:val="00DC3BA3"/>
    <w:rPr>
      <w:color w:val="808080"/>
    </w:rPr>
  </w:style>
  <w:style w:type="character" w:styleId="Hipervnculovisitado">
    <w:name w:val="FollowedHyperlink"/>
    <w:basedOn w:val="Fuentedeprrafopredeter"/>
    <w:uiPriority w:val="99"/>
    <w:semiHidden/>
    <w:unhideWhenUsed/>
    <w:rsid w:val="003A0AAB"/>
    <w:rPr>
      <w:color w:val="800080" w:themeColor="followedHyperlink"/>
      <w:u w:val="single"/>
    </w:rPr>
  </w:style>
  <w:style w:type="character" w:customStyle="1" w:styleId="spelle">
    <w:name w:val="spelle"/>
    <w:basedOn w:val="Fuentedeprrafopredeter"/>
    <w:rsid w:val="003A0AAB"/>
  </w:style>
  <w:style w:type="character" w:customStyle="1" w:styleId="grame">
    <w:name w:val="grame"/>
    <w:basedOn w:val="Fuentedeprrafopredeter"/>
    <w:rsid w:val="003A0AAB"/>
  </w:style>
  <w:style w:type="paragraph" w:styleId="Encabezado">
    <w:name w:val="header"/>
    <w:basedOn w:val="Normal"/>
    <w:link w:val="EncabezadoCar"/>
    <w:uiPriority w:val="99"/>
    <w:unhideWhenUsed/>
    <w:rsid w:val="005C6DA1"/>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5C6DA1"/>
  </w:style>
  <w:style w:type="paragraph" w:styleId="Piedepgina">
    <w:name w:val="footer"/>
    <w:basedOn w:val="Normal"/>
    <w:link w:val="PiedepginaCar"/>
    <w:uiPriority w:val="99"/>
    <w:unhideWhenUsed/>
    <w:rsid w:val="005C6DA1"/>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5C6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395">
      <w:bodyDiv w:val="1"/>
      <w:marLeft w:val="0"/>
      <w:marRight w:val="0"/>
      <w:marTop w:val="0"/>
      <w:marBottom w:val="0"/>
      <w:divBdr>
        <w:top w:val="none" w:sz="0" w:space="0" w:color="auto"/>
        <w:left w:val="none" w:sz="0" w:space="0" w:color="auto"/>
        <w:bottom w:val="none" w:sz="0" w:space="0" w:color="auto"/>
        <w:right w:val="none" w:sz="0" w:space="0" w:color="auto"/>
      </w:divBdr>
    </w:div>
    <w:div w:id="55785065">
      <w:bodyDiv w:val="1"/>
      <w:marLeft w:val="0"/>
      <w:marRight w:val="0"/>
      <w:marTop w:val="0"/>
      <w:marBottom w:val="0"/>
      <w:divBdr>
        <w:top w:val="none" w:sz="0" w:space="0" w:color="auto"/>
        <w:left w:val="none" w:sz="0" w:space="0" w:color="auto"/>
        <w:bottom w:val="none" w:sz="0" w:space="0" w:color="auto"/>
        <w:right w:val="none" w:sz="0" w:space="0" w:color="auto"/>
      </w:divBdr>
    </w:div>
    <w:div w:id="58946950">
      <w:bodyDiv w:val="1"/>
      <w:marLeft w:val="0"/>
      <w:marRight w:val="0"/>
      <w:marTop w:val="0"/>
      <w:marBottom w:val="0"/>
      <w:divBdr>
        <w:top w:val="none" w:sz="0" w:space="0" w:color="auto"/>
        <w:left w:val="none" w:sz="0" w:space="0" w:color="auto"/>
        <w:bottom w:val="none" w:sz="0" w:space="0" w:color="auto"/>
        <w:right w:val="none" w:sz="0" w:space="0" w:color="auto"/>
      </w:divBdr>
    </w:div>
    <w:div w:id="59014330">
      <w:bodyDiv w:val="1"/>
      <w:marLeft w:val="0"/>
      <w:marRight w:val="0"/>
      <w:marTop w:val="0"/>
      <w:marBottom w:val="0"/>
      <w:divBdr>
        <w:top w:val="none" w:sz="0" w:space="0" w:color="auto"/>
        <w:left w:val="none" w:sz="0" w:space="0" w:color="auto"/>
        <w:bottom w:val="none" w:sz="0" w:space="0" w:color="auto"/>
        <w:right w:val="none" w:sz="0" w:space="0" w:color="auto"/>
      </w:divBdr>
    </w:div>
    <w:div w:id="114523425">
      <w:bodyDiv w:val="1"/>
      <w:marLeft w:val="0"/>
      <w:marRight w:val="0"/>
      <w:marTop w:val="0"/>
      <w:marBottom w:val="0"/>
      <w:divBdr>
        <w:top w:val="none" w:sz="0" w:space="0" w:color="auto"/>
        <w:left w:val="none" w:sz="0" w:space="0" w:color="auto"/>
        <w:bottom w:val="none" w:sz="0" w:space="0" w:color="auto"/>
        <w:right w:val="none" w:sz="0" w:space="0" w:color="auto"/>
      </w:divBdr>
    </w:div>
    <w:div w:id="138809434">
      <w:bodyDiv w:val="1"/>
      <w:marLeft w:val="0"/>
      <w:marRight w:val="0"/>
      <w:marTop w:val="0"/>
      <w:marBottom w:val="0"/>
      <w:divBdr>
        <w:top w:val="none" w:sz="0" w:space="0" w:color="auto"/>
        <w:left w:val="none" w:sz="0" w:space="0" w:color="auto"/>
        <w:bottom w:val="none" w:sz="0" w:space="0" w:color="auto"/>
        <w:right w:val="none" w:sz="0" w:space="0" w:color="auto"/>
      </w:divBdr>
    </w:div>
    <w:div w:id="199168836">
      <w:bodyDiv w:val="1"/>
      <w:marLeft w:val="0"/>
      <w:marRight w:val="0"/>
      <w:marTop w:val="0"/>
      <w:marBottom w:val="0"/>
      <w:divBdr>
        <w:top w:val="none" w:sz="0" w:space="0" w:color="auto"/>
        <w:left w:val="none" w:sz="0" w:space="0" w:color="auto"/>
        <w:bottom w:val="none" w:sz="0" w:space="0" w:color="auto"/>
        <w:right w:val="none" w:sz="0" w:space="0" w:color="auto"/>
      </w:divBdr>
    </w:div>
    <w:div w:id="235630449">
      <w:bodyDiv w:val="1"/>
      <w:marLeft w:val="0"/>
      <w:marRight w:val="0"/>
      <w:marTop w:val="0"/>
      <w:marBottom w:val="0"/>
      <w:divBdr>
        <w:top w:val="none" w:sz="0" w:space="0" w:color="auto"/>
        <w:left w:val="none" w:sz="0" w:space="0" w:color="auto"/>
        <w:bottom w:val="none" w:sz="0" w:space="0" w:color="auto"/>
        <w:right w:val="none" w:sz="0" w:space="0" w:color="auto"/>
      </w:divBdr>
    </w:div>
    <w:div w:id="282350999">
      <w:bodyDiv w:val="1"/>
      <w:marLeft w:val="0"/>
      <w:marRight w:val="0"/>
      <w:marTop w:val="0"/>
      <w:marBottom w:val="0"/>
      <w:divBdr>
        <w:top w:val="none" w:sz="0" w:space="0" w:color="auto"/>
        <w:left w:val="none" w:sz="0" w:space="0" w:color="auto"/>
        <w:bottom w:val="none" w:sz="0" w:space="0" w:color="auto"/>
        <w:right w:val="none" w:sz="0" w:space="0" w:color="auto"/>
      </w:divBdr>
    </w:div>
    <w:div w:id="365063480">
      <w:bodyDiv w:val="1"/>
      <w:marLeft w:val="0"/>
      <w:marRight w:val="0"/>
      <w:marTop w:val="0"/>
      <w:marBottom w:val="0"/>
      <w:divBdr>
        <w:top w:val="none" w:sz="0" w:space="0" w:color="auto"/>
        <w:left w:val="none" w:sz="0" w:space="0" w:color="auto"/>
        <w:bottom w:val="none" w:sz="0" w:space="0" w:color="auto"/>
        <w:right w:val="none" w:sz="0" w:space="0" w:color="auto"/>
      </w:divBdr>
    </w:div>
    <w:div w:id="372189944">
      <w:bodyDiv w:val="1"/>
      <w:marLeft w:val="0"/>
      <w:marRight w:val="0"/>
      <w:marTop w:val="0"/>
      <w:marBottom w:val="0"/>
      <w:divBdr>
        <w:top w:val="none" w:sz="0" w:space="0" w:color="auto"/>
        <w:left w:val="none" w:sz="0" w:space="0" w:color="auto"/>
        <w:bottom w:val="none" w:sz="0" w:space="0" w:color="auto"/>
        <w:right w:val="none" w:sz="0" w:space="0" w:color="auto"/>
      </w:divBdr>
    </w:div>
    <w:div w:id="553389135">
      <w:bodyDiv w:val="1"/>
      <w:marLeft w:val="0"/>
      <w:marRight w:val="0"/>
      <w:marTop w:val="0"/>
      <w:marBottom w:val="0"/>
      <w:divBdr>
        <w:top w:val="none" w:sz="0" w:space="0" w:color="auto"/>
        <w:left w:val="none" w:sz="0" w:space="0" w:color="auto"/>
        <w:bottom w:val="none" w:sz="0" w:space="0" w:color="auto"/>
        <w:right w:val="none" w:sz="0" w:space="0" w:color="auto"/>
      </w:divBdr>
    </w:div>
    <w:div w:id="553662665">
      <w:bodyDiv w:val="1"/>
      <w:marLeft w:val="0"/>
      <w:marRight w:val="0"/>
      <w:marTop w:val="0"/>
      <w:marBottom w:val="0"/>
      <w:divBdr>
        <w:top w:val="none" w:sz="0" w:space="0" w:color="auto"/>
        <w:left w:val="none" w:sz="0" w:space="0" w:color="auto"/>
        <w:bottom w:val="none" w:sz="0" w:space="0" w:color="auto"/>
        <w:right w:val="none" w:sz="0" w:space="0" w:color="auto"/>
      </w:divBdr>
    </w:div>
    <w:div w:id="625308686">
      <w:bodyDiv w:val="1"/>
      <w:marLeft w:val="0"/>
      <w:marRight w:val="0"/>
      <w:marTop w:val="0"/>
      <w:marBottom w:val="0"/>
      <w:divBdr>
        <w:top w:val="none" w:sz="0" w:space="0" w:color="auto"/>
        <w:left w:val="none" w:sz="0" w:space="0" w:color="auto"/>
        <w:bottom w:val="none" w:sz="0" w:space="0" w:color="auto"/>
        <w:right w:val="none" w:sz="0" w:space="0" w:color="auto"/>
      </w:divBdr>
    </w:div>
    <w:div w:id="693307710">
      <w:bodyDiv w:val="1"/>
      <w:marLeft w:val="0"/>
      <w:marRight w:val="0"/>
      <w:marTop w:val="0"/>
      <w:marBottom w:val="0"/>
      <w:divBdr>
        <w:top w:val="none" w:sz="0" w:space="0" w:color="auto"/>
        <w:left w:val="none" w:sz="0" w:space="0" w:color="auto"/>
        <w:bottom w:val="none" w:sz="0" w:space="0" w:color="auto"/>
        <w:right w:val="none" w:sz="0" w:space="0" w:color="auto"/>
      </w:divBdr>
    </w:div>
    <w:div w:id="701369846">
      <w:bodyDiv w:val="1"/>
      <w:marLeft w:val="0"/>
      <w:marRight w:val="0"/>
      <w:marTop w:val="0"/>
      <w:marBottom w:val="0"/>
      <w:divBdr>
        <w:top w:val="none" w:sz="0" w:space="0" w:color="auto"/>
        <w:left w:val="none" w:sz="0" w:space="0" w:color="auto"/>
        <w:bottom w:val="none" w:sz="0" w:space="0" w:color="auto"/>
        <w:right w:val="none" w:sz="0" w:space="0" w:color="auto"/>
      </w:divBdr>
    </w:div>
    <w:div w:id="771045865">
      <w:bodyDiv w:val="1"/>
      <w:marLeft w:val="0"/>
      <w:marRight w:val="0"/>
      <w:marTop w:val="0"/>
      <w:marBottom w:val="0"/>
      <w:divBdr>
        <w:top w:val="none" w:sz="0" w:space="0" w:color="auto"/>
        <w:left w:val="none" w:sz="0" w:space="0" w:color="auto"/>
        <w:bottom w:val="none" w:sz="0" w:space="0" w:color="auto"/>
        <w:right w:val="none" w:sz="0" w:space="0" w:color="auto"/>
      </w:divBdr>
    </w:div>
    <w:div w:id="862978736">
      <w:bodyDiv w:val="1"/>
      <w:marLeft w:val="0"/>
      <w:marRight w:val="0"/>
      <w:marTop w:val="0"/>
      <w:marBottom w:val="0"/>
      <w:divBdr>
        <w:top w:val="none" w:sz="0" w:space="0" w:color="auto"/>
        <w:left w:val="none" w:sz="0" w:space="0" w:color="auto"/>
        <w:bottom w:val="none" w:sz="0" w:space="0" w:color="auto"/>
        <w:right w:val="none" w:sz="0" w:space="0" w:color="auto"/>
      </w:divBdr>
    </w:div>
    <w:div w:id="947548567">
      <w:bodyDiv w:val="1"/>
      <w:marLeft w:val="0"/>
      <w:marRight w:val="0"/>
      <w:marTop w:val="0"/>
      <w:marBottom w:val="0"/>
      <w:divBdr>
        <w:top w:val="none" w:sz="0" w:space="0" w:color="auto"/>
        <w:left w:val="none" w:sz="0" w:space="0" w:color="auto"/>
        <w:bottom w:val="none" w:sz="0" w:space="0" w:color="auto"/>
        <w:right w:val="none" w:sz="0" w:space="0" w:color="auto"/>
      </w:divBdr>
    </w:div>
    <w:div w:id="975186999">
      <w:bodyDiv w:val="1"/>
      <w:marLeft w:val="0"/>
      <w:marRight w:val="0"/>
      <w:marTop w:val="0"/>
      <w:marBottom w:val="0"/>
      <w:divBdr>
        <w:top w:val="none" w:sz="0" w:space="0" w:color="auto"/>
        <w:left w:val="none" w:sz="0" w:space="0" w:color="auto"/>
        <w:bottom w:val="none" w:sz="0" w:space="0" w:color="auto"/>
        <w:right w:val="none" w:sz="0" w:space="0" w:color="auto"/>
      </w:divBdr>
    </w:div>
    <w:div w:id="1143502793">
      <w:bodyDiv w:val="1"/>
      <w:marLeft w:val="0"/>
      <w:marRight w:val="0"/>
      <w:marTop w:val="0"/>
      <w:marBottom w:val="0"/>
      <w:divBdr>
        <w:top w:val="none" w:sz="0" w:space="0" w:color="auto"/>
        <w:left w:val="none" w:sz="0" w:space="0" w:color="auto"/>
        <w:bottom w:val="none" w:sz="0" w:space="0" w:color="auto"/>
        <w:right w:val="none" w:sz="0" w:space="0" w:color="auto"/>
      </w:divBdr>
    </w:div>
    <w:div w:id="1274824837">
      <w:bodyDiv w:val="1"/>
      <w:marLeft w:val="0"/>
      <w:marRight w:val="0"/>
      <w:marTop w:val="0"/>
      <w:marBottom w:val="0"/>
      <w:divBdr>
        <w:top w:val="none" w:sz="0" w:space="0" w:color="auto"/>
        <w:left w:val="none" w:sz="0" w:space="0" w:color="auto"/>
        <w:bottom w:val="none" w:sz="0" w:space="0" w:color="auto"/>
        <w:right w:val="none" w:sz="0" w:space="0" w:color="auto"/>
      </w:divBdr>
    </w:div>
    <w:div w:id="1411267302">
      <w:bodyDiv w:val="1"/>
      <w:marLeft w:val="0"/>
      <w:marRight w:val="0"/>
      <w:marTop w:val="0"/>
      <w:marBottom w:val="0"/>
      <w:divBdr>
        <w:top w:val="none" w:sz="0" w:space="0" w:color="auto"/>
        <w:left w:val="none" w:sz="0" w:space="0" w:color="auto"/>
        <w:bottom w:val="none" w:sz="0" w:space="0" w:color="auto"/>
        <w:right w:val="none" w:sz="0" w:space="0" w:color="auto"/>
      </w:divBdr>
    </w:div>
    <w:div w:id="1496921766">
      <w:bodyDiv w:val="1"/>
      <w:marLeft w:val="0"/>
      <w:marRight w:val="0"/>
      <w:marTop w:val="0"/>
      <w:marBottom w:val="0"/>
      <w:divBdr>
        <w:top w:val="none" w:sz="0" w:space="0" w:color="auto"/>
        <w:left w:val="none" w:sz="0" w:space="0" w:color="auto"/>
        <w:bottom w:val="none" w:sz="0" w:space="0" w:color="auto"/>
        <w:right w:val="none" w:sz="0" w:space="0" w:color="auto"/>
      </w:divBdr>
    </w:div>
    <w:div w:id="1638293636">
      <w:bodyDiv w:val="1"/>
      <w:marLeft w:val="0"/>
      <w:marRight w:val="0"/>
      <w:marTop w:val="0"/>
      <w:marBottom w:val="0"/>
      <w:divBdr>
        <w:top w:val="none" w:sz="0" w:space="0" w:color="auto"/>
        <w:left w:val="none" w:sz="0" w:space="0" w:color="auto"/>
        <w:bottom w:val="none" w:sz="0" w:space="0" w:color="auto"/>
        <w:right w:val="none" w:sz="0" w:space="0" w:color="auto"/>
      </w:divBdr>
    </w:div>
    <w:div w:id="1702244489">
      <w:bodyDiv w:val="1"/>
      <w:marLeft w:val="0"/>
      <w:marRight w:val="0"/>
      <w:marTop w:val="0"/>
      <w:marBottom w:val="0"/>
      <w:divBdr>
        <w:top w:val="none" w:sz="0" w:space="0" w:color="auto"/>
        <w:left w:val="none" w:sz="0" w:space="0" w:color="auto"/>
        <w:bottom w:val="none" w:sz="0" w:space="0" w:color="auto"/>
        <w:right w:val="none" w:sz="0" w:space="0" w:color="auto"/>
      </w:divBdr>
    </w:div>
    <w:div w:id="1813326742">
      <w:bodyDiv w:val="1"/>
      <w:marLeft w:val="0"/>
      <w:marRight w:val="0"/>
      <w:marTop w:val="0"/>
      <w:marBottom w:val="0"/>
      <w:divBdr>
        <w:top w:val="none" w:sz="0" w:space="0" w:color="auto"/>
        <w:left w:val="none" w:sz="0" w:space="0" w:color="auto"/>
        <w:bottom w:val="none" w:sz="0" w:space="0" w:color="auto"/>
        <w:right w:val="none" w:sz="0" w:space="0" w:color="auto"/>
      </w:divBdr>
    </w:div>
    <w:div w:id="183390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orporate_tax_in_the_United_States" TargetMode="External"/><Relationship Id="rId21" Type="http://schemas.openxmlformats.org/officeDocument/2006/relationships/hyperlink" Target="http://www.nasdaq.com/symbol/lnkd/interactive-chart" TargetMode="External"/><Relationship Id="rId42" Type="http://schemas.openxmlformats.org/officeDocument/2006/relationships/oleObject" Target="embeddings/oleObject7.bin"/><Relationship Id="rId47" Type="http://schemas.openxmlformats.org/officeDocument/2006/relationships/oleObject" Target="embeddings/oleObject9.bin"/><Relationship Id="rId63" Type="http://schemas.openxmlformats.org/officeDocument/2006/relationships/hyperlink" Target="https://www.omnicoreagency.com/snapchat-statistics/" TargetMode="External"/><Relationship Id="rId68" Type="http://schemas.openxmlformats.org/officeDocument/2006/relationships/hyperlink" Target="http://pages.stern.nyu.edu/~adamodar/New_Home_Page/datafile/psdata.html" TargetMode="External"/><Relationship Id="rId16" Type="http://schemas.openxmlformats.org/officeDocument/2006/relationships/hyperlink" Target="https://investor.twitterinc.com/releasedetail.cfm?ReleaseID=823321" TargetMode="External"/><Relationship Id="rId11" Type="http://schemas.openxmlformats.org/officeDocument/2006/relationships/hyperlink" Target="http://www.telegraph.co.uk/technology/twitter/10432396/Twitter-IPO-as-it-happened.html" TargetMode="External"/><Relationship Id="rId32" Type="http://schemas.openxmlformats.org/officeDocument/2006/relationships/oleObject" Target="embeddings/oleObject3.bin"/><Relationship Id="rId37" Type="http://schemas.openxmlformats.org/officeDocument/2006/relationships/image" Target="media/image7.wmf"/><Relationship Id="rId53" Type="http://schemas.openxmlformats.org/officeDocument/2006/relationships/image" Target="media/image15.jpeg"/><Relationship Id="rId58" Type="http://schemas.openxmlformats.org/officeDocument/2006/relationships/hyperlink" Target="http://pages.stern.nyu.edu/~adamodar/New_Home_Page/dataarchived.html" TargetMode="External"/><Relationship Id="rId74" Type="http://schemas.openxmlformats.org/officeDocument/2006/relationships/hyperlink" Target="https://www.theverge.com/2019/4/23/18511383/twitter-q1-2019-earnings-report-mau" TargetMode="External"/><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hyperlink" Target="https://www-statista-com.audenciagroup.idm.oclc.org/statistics/303681/twitter-users-worldwide/" TargetMode="External"/><Relationship Id="rId19" Type="http://schemas.openxmlformats.org/officeDocument/2006/relationships/hyperlink" Target="http://ycharts.com/financials/FB/income_statement/quarterly" TargetMode="External"/><Relationship Id="rId14" Type="http://schemas.openxmlformats.org/officeDocument/2006/relationships/hyperlink" Target="http://www.zdnet.com/twitter-ceo-promises-user-count-growth-in-2014-but-not-all-overnight-7000026320/" TargetMode="External"/><Relationship Id="rId22" Type="http://schemas.openxmlformats.org/officeDocument/2006/relationships/hyperlink" Target="http://www.nasdaq.com/symbol/twtr/interactive-chart"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yperlink" Target="http://pages.stern.nyu.edu/~adamodar/New_Home_Page/dataarchived.html" TargetMode="External"/><Relationship Id="rId48" Type="http://schemas.openxmlformats.org/officeDocument/2006/relationships/image" Target="media/image12.wmf"/><Relationship Id="rId56" Type="http://schemas.openxmlformats.org/officeDocument/2006/relationships/hyperlink" Target="https://zephoria.com/top-15-valuable-facebook-statistics/" TargetMode="External"/><Relationship Id="rId64" Type="http://schemas.openxmlformats.org/officeDocument/2006/relationships/hyperlink" Target="http://pages.stern.nyu.edu/~adamodar/New_Home_Page/datafile/pedata.html" TargetMode="External"/><Relationship Id="rId69" Type="http://schemas.openxmlformats.org/officeDocument/2006/relationships/hyperlink" Target="http://pages.stern.nyu.edu/~adamodar/New_Home_Page/datafile/margin.html" TargetMode="External"/><Relationship Id="rId77" Type="http://schemas.openxmlformats.org/officeDocument/2006/relationships/image" Target="media/image23.png"/><Relationship Id="rId8" Type="http://schemas.openxmlformats.org/officeDocument/2006/relationships/webSettings" Target="webSettings.xml"/><Relationship Id="rId51" Type="http://schemas.openxmlformats.org/officeDocument/2006/relationships/hyperlink" Target="https://www.usatoday.com/story/money/business/2014/02/06/twitter-earnings-report-crash/5259453/" TargetMode="External"/><Relationship Id="rId72" Type="http://schemas.openxmlformats.org/officeDocument/2006/relationships/image" Target="media/image20.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nasdaq.com/symbol/twtr/interactive-chart" TargetMode="External"/><Relationship Id="rId17" Type="http://schemas.openxmlformats.org/officeDocument/2006/relationships/hyperlink" Target="http://mashable.com/2013/10/29/linkedin-q3-earnings/" TargetMode="External"/><Relationship Id="rId25" Type="http://schemas.openxmlformats.org/officeDocument/2006/relationships/package" Target="embeddings/Microsoft_Excel_Worksheet.xlsx"/><Relationship Id="rId33" Type="http://schemas.openxmlformats.org/officeDocument/2006/relationships/image" Target="media/image5.emf"/><Relationship Id="rId38" Type="http://schemas.openxmlformats.org/officeDocument/2006/relationships/oleObject" Target="embeddings/oleObject5.bin"/><Relationship Id="rId46" Type="http://schemas.openxmlformats.org/officeDocument/2006/relationships/image" Target="media/image11.wmf"/><Relationship Id="rId59" Type="http://schemas.openxmlformats.org/officeDocument/2006/relationships/image" Target="media/image17.png"/><Relationship Id="rId67" Type="http://schemas.openxmlformats.org/officeDocument/2006/relationships/hyperlink" Target="http://pages.stern.nyu.edu/~adamodar/New_Home_Page/datafile/capex.html" TargetMode="External"/><Relationship Id="rId20" Type="http://schemas.openxmlformats.org/officeDocument/2006/relationships/hyperlink" Target="http://www.nasdaq.com/symbol/fb/interactive-chart" TargetMode="External"/><Relationship Id="rId41" Type="http://schemas.openxmlformats.org/officeDocument/2006/relationships/image" Target="media/image9.wmf"/><Relationship Id="rId54" Type="http://schemas.openxmlformats.org/officeDocument/2006/relationships/image" Target="media/image16.png"/><Relationship Id="rId62" Type="http://schemas.openxmlformats.org/officeDocument/2006/relationships/hyperlink" Target="https://www-statista-com.audenciagroup.idm.oclc.org/statistics/264810/number-of-monthly-active-facebook-users-worldwide/" TargetMode="External"/><Relationship Id="rId70" Type="http://schemas.openxmlformats.org/officeDocument/2006/relationships/hyperlink" Target="http://pages.stern.nyu.edu/~adamodar/New_Home_Page/datafile/wacc.htm" TargetMode="External"/><Relationship Id="rId75"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nvestor.twitterinc.com/" TargetMode="External"/><Relationship Id="rId23" Type="http://schemas.openxmlformats.org/officeDocument/2006/relationships/hyperlink" Target="http://www.pewinternet.org/2013/02/14/social-networking-site-users/" TargetMode="External"/><Relationship Id="rId28" Type="http://schemas.openxmlformats.org/officeDocument/2006/relationships/oleObject" Target="embeddings/oleObject1.bin"/><Relationship Id="rId36" Type="http://schemas.openxmlformats.org/officeDocument/2006/relationships/oleObject" Target="embeddings/oleObject4.bin"/><Relationship Id="rId49" Type="http://schemas.openxmlformats.org/officeDocument/2006/relationships/oleObject" Target="embeddings/oleObject10.bin"/><Relationship Id="rId57" Type="http://schemas.openxmlformats.org/officeDocument/2006/relationships/hyperlink" Target="https://www.omnicoreagency.com/snapchat-statistics/" TargetMode="External"/><Relationship Id="rId10" Type="http://schemas.openxmlformats.org/officeDocument/2006/relationships/endnotes" Target="endnotes.xml"/><Relationship Id="rId31" Type="http://schemas.openxmlformats.org/officeDocument/2006/relationships/image" Target="media/image4.wmf"/><Relationship Id="rId44" Type="http://schemas.openxmlformats.org/officeDocument/2006/relationships/image" Target="media/image10.wmf"/><Relationship Id="rId52" Type="http://schemas.openxmlformats.org/officeDocument/2006/relationships/image" Target="media/image14.jpeg"/><Relationship Id="rId60" Type="http://schemas.openxmlformats.org/officeDocument/2006/relationships/image" Target="media/image18.png"/><Relationship Id="rId65" Type="http://schemas.openxmlformats.org/officeDocument/2006/relationships/hyperlink" Target="http://pages.stern.nyu.edu/~adamodar/New_Home_Page/datafile/psdata.html" TargetMode="External"/><Relationship Id="rId73" Type="http://schemas.openxmlformats.org/officeDocument/2006/relationships/hyperlink" Target="https://www.nasdaq.com/market-activity/stocks/twtr" TargetMode="External"/><Relationship Id="rId78" Type="http://schemas.openxmlformats.org/officeDocument/2006/relationships/image" Target="media/image24.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nypost.com/2014/02/06/twitter-shares-fall-23-on-first-earnings-report/" TargetMode="External"/><Relationship Id="rId18" Type="http://schemas.openxmlformats.org/officeDocument/2006/relationships/hyperlink" Target="http://investor.fb.com/secfiling.cfm?filingid=1326801-13-3" TargetMode="External"/><Relationship Id="rId39" Type="http://schemas.openxmlformats.org/officeDocument/2006/relationships/image" Target="media/image8.wmf"/><Relationship Id="rId34" Type="http://schemas.openxmlformats.org/officeDocument/2006/relationships/package" Target="embeddings/Microsoft_Excel_Worksheet1.xlsx"/><Relationship Id="rId50" Type="http://schemas.openxmlformats.org/officeDocument/2006/relationships/image" Target="media/image13.jpeg"/><Relationship Id="rId55" Type="http://schemas.openxmlformats.org/officeDocument/2006/relationships/hyperlink" Target="https://www.omnicoreagency.com/twitter-statistics/" TargetMode="External"/><Relationship Id="rId76" Type="http://schemas.openxmlformats.org/officeDocument/2006/relationships/image" Target="media/image22.png"/><Relationship Id="rId7" Type="http://schemas.openxmlformats.org/officeDocument/2006/relationships/settings" Target="settings.xml"/><Relationship Id="rId71" Type="http://schemas.openxmlformats.org/officeDocument/2006/relationships/image" Target="media/image19.png"/><Relationship Id="rId2" Type="http://schemas.openxmlformats.org/officeDocument/2006/relationships/customXml" Target="../customXml/item2.xml"/><Relationship Id="rId29" Type="http://schemas.openxmlformats.org/officeDocument/2006/relationships/image" Target="media/image3.wmf"/><Relationship Id="rId24" Type="http://schemas.openxmlformats.org/officeDocument/2006/relationships/image" Target="media/image1.emf"/><Relationship Id="rId40" Type="http://schemas.openxmlformats.org/officeDocument/2006/relationships/oleObject" Target="embeddings/oleObject6.bin"/><Relationship Id="rId45" Type="http://schemas.openxmlformats.org/officeDocument/2006/relationships/oleObject" Target="embeddings/oleObject8.bin"/><Relationship Id="rId66" Type="http://schemas.openxmlformats.org/officeDocument/2006/relationships/hyperlink" Target="http://pages.stern.nyu.edu/~adamodar/New_Home_Page/dataarchiv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DE17CEDC22C6E4C817BE2B85326AFED" ma:contentTypeVersion="13" ma:contentTypeDescription="Crée un document." ma:contentTypeScope="" ma:versionID="340fd81ba66454462264ca5c01740633">
  <xsd:schema xmlns:xsd="http://www.w3.org/2001/XMLSchema" xmlns:xs="http://www.w3.org/2001/XMLSchema" xmlns:p="http://schemas.microsoft.com/office/2006/metadata/properties" xmlns:ns3="68c52cd0-c861-4c82-9a1a-0aa4e6c6a5db" xmlns:ns4="92df8fb2-6fee-4711-b57a-2112678babd5" targetNamespace="http://schemas.microsoft.com/office/2006/metadata/properties" ma:root="true" ma:fieldsID="1c5f93696f663e032a9d9d87df367f12" ns3:_="" ns4:_="">
    <xsd:import namespace="68c52cd0-c861-4c82-9a1a-0aa4e6c6a5db"/>
    <xsd:import namespace="92df8fb2-6fee-4711-b57a-2112678babd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52cd0-c861-4c82-9a1a-0aa4e6c6a5db"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f8fb2-6fee-4711-b57a-2112678babd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35F6B7-C93C-4673-9F15-0EF19538B9EA}">
  <ds:schemaRefs>
    <ds:schemaRef ds:uri="http://schemas.microsoft.com/sharepoint/v3/contenttype/forms"/>
  </ds:schemaRefs>
</ds:datastoreItem>
</file>

<file path=customXml/itemProps2.xml><?xml version="1.0" encoding="utf-8"?>
<ds:datastoreItem xmlns:ds="http://schemas.openxmlformats.org/officeDocument/2006/customXml" ds:itemID="{327182CB-D0F4-417E-B582-92BA3FA23C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C9CE2F-2C03-4CBB-B96C-063A68DA5DE4}">
  <ds:schemaRefs>
    <ds:schemaRef ds:uri="http://schemas.openxmlformats.org/officeDocument/2006/bibliography"/>
  </ds:schemaRefs>
</ds:datastoreItem>
</file>

<file path=customXml/itemProps4.xml><?xml version="1.0" encoding="utf-8"?>
<ds:datastoreItem xmlns:ds="http://schemas.openxmlformats.org/officeDocument/2006/customXml" ds:itemID="{A7684504-7C67-4234-B41D-38542944B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52cd0-c861-4c82-9a1a-0aa4e6c6a5db"/>
    <ds:schemaRef ds:uri="92df8fb2-6fee-4711-b57a-2112678ba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5400</Words>
  <Characters>29703</Characters>
  <Application>Microsoft Office Word</Application>
  <DocSecurity>0</DocSecurity>
  <Lines>247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HINCAPIE MARTINEZ Juan</cp:lastModifiedBy>
  <cp:revision>1</cp:revision>
  <dcterms:created xsi:type="dcterms:W3CDTF">2026-10-27T02:06:00Z</dcterms:created>
  <dcterms:modified xsi:type="dcterms:W3CDTF">2026-10-27T02:06:00Z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0x0101005DE17CEDC22C6E4C817BE2B85326AFED</vt:lpwstr>
  </property>
</Properties>
</file>