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ortadaInstitucion"/>
      </w:pPr>
      <w:r>
        <w:t xml:space="preserve">UNIVERSIDAD AUTÓNOMA DE ENTRE RÍOS (UADER)</w:t>
      </w:r>
    </w:p>
    <w:p>
      <w:pPr>
        <w:pStyle w:val="PortadaInstitucion"/>
      </w:pPr>
      <w:r>
        <w:t xml:space="preserve">Facultad de Ciencia y Tecnología (FCyT)</w:t>
      </w:r>
    </w:p>
    <w:p>
      <w:pPr>
        <w:pStyle w:val="PortadaInstitucion"/>
      </w:pPr>
      <w:r>
        <w:t xml:space="preserve">Museo IDTI Lab de Redes Neuronales</w:t>
      </w:r>
    </w:p>
    <w:p>
      <w:pPr>
        <w:pStyle w:val="PortadaTitulo"/>
      </w:pPr>
      <w:r>
        <w:t xml:space="preserve">DOCUMENTO DE ARQUITECTURA, ESPECIFICACIÓN TÉCNICA Y PLAN DE EJECUCIÓN (MASTER TFI)</w:t>
      </w:r>
    </w:p>
    <w:p>
      <w:pPr>
        <w:pStyle w:val="PortadaSubtitulo"/>
      </w:pPr>
      <w:r>
        <w:t xml:space="preserve">Sistema Híbrido Neuro-Adaptativo de Agrupamiento y Perfilado Académico: Expectation-Maximization (EM/GMM) y Red Carpenter-Grossberg 1 (ART 1)</w:t>
      </w:r>
    </w:p>
    <w:p>
      <w:pPr>
        <w:pStyle w:val="PortadaMeta"/>
      </w:pPr>
      <w:r>
        <w:rPr>
          <w:bCs/>
          <w:b/>
        </w:rPr>
        <w:t xml:space="preserve">Cátedra:</w:t>
      </w:r>
      <w:r>
        <w:t xml:space="preserve"> </w:t>
      </w:r>
      <w:r>
        <w:t xml:space="preserve">Redes Neuronales</w:t>
      </w:r>
    </w:p>
    <w:p>
      <w:pPr>
        <w:pStyle w:val="PortadaMeta"/>
      </w:pPr>
      <w:r>
        <w:rPr>
          <w:bCs/>
          <w:b/>
        </w:rPr>
        <w:t xml:space="preserve">Institución:</w:t>
      </w:r>
      <w:r>
        <w:t xml:space="preserve"> </w:t>
      </w:r>
      <w:r>
        <w:t xml:space="preserve">Universidad Autónoma de Entre Ríos (UADER) – Facultad de Ciencia y Tecnología (FCyT)</w:t>
      </w:r>
    </w:p>
    <w:p>
      <w:pPr>
        <w:pStyle w:val="PortadaMeta"/>
      </w:pPr>
      <w:r>
        <w:rPr>
          <w:bCs/>
          <w:b/>
        </w:rPr>
        <w:t xml:space="preserve">Laboratorio:</w:t>
      </w:r>
      <w:r>
        <w:t xml:space="preserve"> </w:t>
      </w:r>
      <w:r>
        <w:t xml:space="preserve">Museo IDTI Lab de Redes Neuronales</w:t>
      </w:r>
    </w:p>
    <w:p>
      <w:pPr>
        <w:pStyle w:val="PortadaMeta"/>
      </w:pPr>
      <w:r>
        <w:rPr>
          <w:bCs/>
          <w:b/>
        </w:rPr>
        <w:t xml:space="preserve">Docentes:</w:t>
      </w:r>
      <w:r>
        <w:t xml:space="preserve"> </w:t>
      </w:r>
      <w:r>
        <w:t xml:space="preserve">Dra. Daniela López De Luise – Prof. Alejandro Pérez</w:t>
      </w:r>
    </w:p>
    <w:p>
      <w:pPr>
        <w:pStyle w:val="PortadaMeta"/>
      </w:pPr>
      <w:r>
        <w:rPr>
          <w:bCs/>
          <w:b/>
        </w:rPr>
        <w:t xml:space="preserve">Archivo Principal:</w:t>
      </w:r>
      <w:r>
        <w:t xml:space="preserve"> </w:t>
      </w:r>
      <w:r>
        <w:rPr>
          <w:rStyle w:val="VerbatimChar"/>
        </w:rPr>
        <w:t xml:space="preserve">CarGross.py</w:t>
      </w:r>
    </w:p>
    <w:p>
      <w:pPr>
        <w:pStyle w:val="PortadaMeta"/>
      </w:pPr>
      <w:r>
        <w:rPr>
          <w:bCs/>
          <w:b/>
        </w:rPr>
        <w:t xml:space="preserve">Modalidad de Aprobación:</w:t>
      </w:r>
      <w:r>
        <w:t xml:space="preserve"> </w:t>
      </w:r>
      <w:r>
        <w:t xml:space="preserve">Opción Promoción (Régimen de Tolerancia Cero a Fallos, 100% Reproducible y Autodocumentado)</w:t>
      </w:r>
    </w:p>
    <w:p>
      <w:r>
        <w:br w:type="page"/>
      </w:r>
    </w:p>
    <w:bookmarkStart w:id="20" w:name="Xe45d77bd0361631d812823dfcb5d2d10f83160b"/>
    <w:p>
      <w:pPr>
        <w:pStyle w:val="Heading1"/>
      </w:pPr>
      <w:r>
        <w:t xml:space="preserve">1. ESPECIFICACIONES OBLIGATORIAS Y RESTRICCIONES DE CÁTEDRA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Punto de Entrada Único:</w:t>
      </w:r>
      <w:r>
        <w:t xml:space="preserve"> </w:t>
      </w:r>
      <w:r>
        <w:t xml:space="preserve">El software ejecutable debe centralizarse estrictamente en el módulo Python</w:t>
      </w:r>
      <w:r>
        <w:t xml:space="preserve"> </w:t>
      </w:r>
      <w:r>
        <w:rPr>
          <w:rStyle w:val="VerbatimChar"/>
        </w:rPr>
        <w:t xml:space="preserve">CarGross.py</w:t>
      </w:r>
      <w:r>
        <w:t xml:space="preserve">. El código debe ser limpio, autodocumentado según directivas PEP 8 y estar libre de errores de ejecución o advertencias de tipo.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Restricción de Formatos de E/S:</w:t>
      </w:r>
      <w:r>
        <w:t xml:space="preserve"> </w:t>
      </w:r>
      <w:r>
        <w:t xml:space="preserve">La ingesta y exportación de datos debe realizarse</w:t>
      </w:r>
      <w:r>
        <w:t xml:space="preserve"> </w:t>
      </w:r>
      <w:r>
        <w:rPr>
          <w:bCs/>
          <w:b/>
        </w:rPr>
        <w:t xml:space="preserve">exclusivamente mediante archivos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.csv</w:t>
      </w:r>
      <w:r>
        <w:t xml:space="preserve">. Cualquier archivo de configuración o metadato complementario debe tener extensión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y contar con su documentación tabular asociada.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Interfaz de Usuario:</w:t>
      </w:r>
      <w:r>
        <w:t xml:space="preserve"> </w:t>
      </w:r>
      <w:r>
        <w:t xml:space="preserve">Interfaz por línea de comandos (CLI). No se admite ni requiere interfaz gráfica (GUI).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Resiliencia y Sistema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man</w:t>
      </w:r>
      <w:r>
        <w:rPr>
          <w:bCs/>
          <w:b/>
        </w:rPr>
        <w:t xml:space="preserve"> </w:t>
      </w:r>
      <w:r>
        <w:rPr>
          <w:bCs/>
          <w:b/>
        </w:rPr>
        <w:t xml:space="preserve">Integrado:</w:t>
      </w:r>
      <w:r>
        <w:t xml:space="preserve"> </w:t>
      </w:r>
      <w:r>
        <w:t xml:space="preserve">El software debe implementar control total de excepciones. Ante parámetros faltantes, tipos inválidos, datos corruptos o corridas infructuosas, el script debe interceptar el error, emitir un mensaje de diagnóstico y desplegar automáticamente la pantalla interactiva del manual de referencia (</w:t>
      </w:r>
      <w:r>
        <w:rPr>
          <w:rStyle w:val="VerbatimChar"/>
        </w:rPr>
        <w:t xml:space="preserve">man</w:t>
      </w:r>
      <w:r>
        <w:t xml:space="preserve">), finalizando con un código de salida controlado.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Conjuntos de Datos Requeridos:</w:t>
      </w:r>
      <w:r>
        <w:t xml:space="preserve"> </w:t>
      </w:r>
      <w:r>
        <w:t xml:space="preserve">Evaluación y validación sobre dos (2) datasets distintos con un mínimo de 50 instancias y 5 variables cada uno:</w:t>
      </w:r>
    </w:p>
    <w:p>
      <w:pPr>
        <w:pStyle w:val="Compact"/>
        <w:numPr>
          <w:ilvl w:val="1"/>
          <w:numId w:val="1002"/>
        </w:numPr>
      </w:pPr>
      <w:r>
        <w:rPr>
          <w:bCs/>
          <w:b/>
        </w:rPr>
        <w:t xml:space="preserve">Dataset 1 (Principal):</w:t>
      </w:r>
      <w:r>
        <w:t xml:space="preserve"> </w:t>
      </w:r>
      <w:r>
        <w:rPr>
          <w:iCs/>
          <w:i/>
        </w:rPr>
        <w:t xml:space="preserve">Student Performance Prediction Dataset</w:t>
      </w:r>
      <w:r>
        <w:t xml:space="preserve"> </w:t>
      </w:r>
      <w:r>
        <w:t xml:space="preserve">(Kaggle), desagregado y binarizado.</w:t>
      </w:r>
    </w:p>
    <w:p>
      <w:pPr>
        <w:pStyle w:val="Compact"/>
        <w:numPr>
          <w:ilvl w:val="1"/>
          <w:numId w:val="1002"/>
        </w:numPr>
      </w:pPr>
      <w:r>
        <w:rPr>
          <w:bCs/>
          <w:b/>
        </w:rPr>
        <w:t xml:space="preserve">Dataset 2 (Benchmark de Control):</w:t>
      </w:r>
      <w:r>
        <w:t xml:space="preserve"> </w:t>
      </w:r>
      <w:r>
        <w:t xml:space="preserve">Dataset complementario formateado bajo las mismas reglas para contrastar la estabilidad de la red.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Entregables Formales:</w:t>
      </w:r>
    </w:p>
    <w:p>
      <w:pPr>
        <w:pStyle w:val="Compact"/>
        <w:numPr>
          <w:ilvl w:val="1"/>
          <w:numId w:val="1003"/>
        </w:numPr>
      </w:pPr>
      <w:r>
        <w:rPr>
          <w:bCs/>
          <w:b/>
        </w:rPr>
        <w:t xml:space="preserve">Manual de Referencia:</w:t>
      </w:r>
      <w:r>
        <w:t xml:space="preserve"> </w:t>
      </w:r>
      <w:r>
        <w:t xml:space="preserve">Alcances, limitaciones, guía paso a paso de instalación en entorno virtual, ejecución de demo rápida, FAQ con un mínimo de 3 preguntas analíticas y sección final obligatoria bajo el título estricto</w:t>
      </w:r>
      <w:r>
        <w:t xml:space="preserve"> </w:t>
      </w:r>
      <w:r>
        <w:rPr>
          <w:rStyle w:val="VerbatimChar"/>
        </w:rPr>
        <w:t xml:space="preserve">REFERENCIAS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Cs/>
          <w:b/>
        </w:rPr>
        <w:t xml:space="preserve">Informe Final Evaluativo:</w:t>
      </w:r>
      <w:r>
        <w:t xml:space="preserve"> </w:t>
      </w:r>
      <w:r>
        <w:t xml:space="preserve">Resultados de las corridas en ambos datasets, matrices de validación cruzada y carátula formal institucional con logos de UADER y del IDTI Lab.</w:t>
      </w:r>
    </w:p>
    <w:p>
      <w:pPr>
        <w:pStyle w:val="Compact"/>
        <w:numPr>
          <w:ilvl w:val="1"/>
          <w:numId w:val="1003"/>
        </w:numPr>
      </w:pPr>
      <w:r>
        <w:rPr>
          <w:bCs/>
          <w:b/>
        </w:rPr>
        <w:t xml:space="preserve">Estructura y Guion para PPT con Audio:</w:t>
      </w:r>
      <w:r>
        <w:t xml:space="preserve"> </w:t>
      </w:r>
      <w:r>
        <w:t xml:space="preserve">Presentación audiovisual didáctica que detalle el origen bio-inspirado del modelo, justificación, dinámica ART 1, fortalezas, debilidades y comparativa exhaustiva contra redes neuronales competidoras.</w:t>
      </w:r>
    </w:p>
    <w:bookmarkEnd w:id="20"/>
    <w:bookmarkStart w:id="24" w:name="X43e100b885e876d29f1b851dc07bb077463c04a"/>
    <w:p>
      <w:pPr>
        <w:pStyle w:val="Heading1"/>
      </w:pPr>
      <w:r>
        <w:t xml:space="preserve">2. ARQUITECTURA CONCEPTUAL: MODELO HÍBRIDO EN DOS FASES</w:t>
      </w:r>
    </w:p>
    <w:p>
      <w:pPr>
        <w:pStyle w:val="FirstParagraph"/>
      </w:pPr>
      <w:r>
        <w:t xml:space="preserve">El sistema resuelve el trade-off entre la modelización estocástica de variables continuas y la memoria de largo plazo auto-organizativa binaria mediante un pipeline de dos fases acopladas de manera ex-post:</w:t>
      </w:r>
    </w:p>
    <w:p>
      <w:pPr>
        <w:pStyle w:val="CaptionedFigure"/>
      </w:pPr>
      <w:r>
        <w:drawing>
          <wp:inline>
            <wp:extent cx="5111999" cy="6144267"/>
            <wp:effectExtent b="0" l="0" r="0" t="0"/>
            <wp:docPr descr="Figura 1. Pipeline híbrido de cinco fases: ingesta, clustering EM/GMM, ingeniería de features, red ART 1 y validación ex-post." title="" id="22" name="Picture"/>
            <a:graphic>
              <a:graphicData uri="http://schemas.openxmlformats.org/drawingml/2006/picture">
                <pic:pic>
                  <pic:nvPicPr>
                    <pic:cNvPr descr="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14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Pipeline híbrido de cinco fases: ingesta, clustering EM/GMM, ingeniería de features, red ART 1 y validación ex-post.</w:t>
      </w:r>
    </w:p>
    <w:bookmarkEnd w:id="24"/>
    <w:bookmarkStart w:id="40" w:name="X2ab11fdbe181c6673b5e73b629ec839d4279b24"/>
    <w:p>
      <w:pPr>
        <w:pStyle w:val="Heading1"/>
      </w:pPr>
      <w:r>
        <w:t xml:space="preserve">3. FORMULACIÓN MATEMÁTICA Y FUNDAMENTOS TEÓRICOS</w:t>
      </w:r>
    </w:p>
    <w:bookmarkStart w:id="27" w:name="X741c2822dc88248da5e4287ab67356127044cb5"/>
    <w:p>
      <w:pPr>
        <w:pStyle w:val="Heading2"/>
      </w:pPr>
      <w:r>
        <w:t xml:space="preserve">3.1 Fase 1: Expectation-Maximization (EM) y Descomposición Espectral</w:t>
      </w:r>
    </w:p>
    <w:p>
      <w:pPr>
        <w:pStyle w:val="FirstParagraph"/>
      </w:pPr>
      <w:r>
        <w:t xml:space="preserve">El espacio continuo de hábitos de los estudiantes se modela mediante una combinación lineal convexa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densidades normales multivariadas: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es el coeficiente de mezcla de la componente</w:t>
      </w:r>
      <w:r>
        <w:t xml:space="preserve"> </w:t>
      </w:r>
      <m:oMath>
        <m:r>
          <m:t>k</m:t>
        </m:r>
      </m:oMath>
      <w:r>
        <w:t xml:space="preserve">, satisfaciendo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es el vector de medias (centroide) en el espacio continuo de dimensión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es la matriz de covarianza de la componente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La función de Log-Likelihood total a maximizar mediante el algoritmo EM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</m:e>
                    <m:sup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T</m:t>
                      </m:r>
                    </m:sup>
                  </m:sSup>
                  <m:sSubSup>
                    <m:e>
                      <m:r>
                        <m:t>Σ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bookmarkStart w:id="25" w:name="a.-calibración-óptima-de-componentes-k"/>
    <w:p>
      <w:pPr>
        <w:pStyle w:val="Heading3"/>
      </w:pPr>
      <w:r>
        <w:t xml:space="preserve">A. Calibración Óptima de Componentes (</w:t>
      </w:r>
      <m:oMath>
        <m:r>
          <m:t>K</m:t>
        </m:r>
      </m:oMath>
      <w:r>
        <w:t xml:space="preserve">)</w:t>
      </w:r>
    </w:p>
    <w:p>
      <w:pPr>
        <w:pStyle w:val="FirstParagraph"/>
      </w:pPr>
      <w:r>
        <w:t xml:space="preserve">Para evitar la subsegmentación o sobreajuste de la red, la selección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determina evaluando el Criterio de Información Bayesiano (BIC) y el Criterio de Información de Akaike (AIC):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ln</m:t>
          </m:r>
          <m:acc>
            <m:accPr>
              <m:chr m:val="̂"/>
            </m:accPr>
            <m:e>
              <m:r>
                <m:t>L</m:t>
              </m:r>
            </m:e>
          </m:acc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ln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ln</m:t>
          </m:r>
          <m:acc>
            <m:accPr>
              <m:chr m:val="̂"/>
            </m:accPr>
            <m:e>
              <m:r>
                <m:t>L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p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es el máximo de la función de verosimilitud,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 la cantidad de estudiantes 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el número total de parámetros libres estimados: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Se selecciona el valor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que minimice el BIC en el rango de búsqueda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</w:t>
      </w:r>
    </w:p>
    <w:bookmarkEnd w:id="25"/>
    <w:bookmarkStart w:id="26" w:name="Xec9cac343c4081dc6dd88f215aba71cc4bc1450"/>
    <w:p>
      <w:pPr>
        <w:pStyle w:val="Heading3"/>
      </w:pPr>
      <w:r>
        <w:t xml:space="preserve">B. Derivación del Gradiente de Riesgo Académico por Eigenvectores</w:t>
      </w:r>
    </w:p>
    <w:p>
      <w:pPr>
        <w:pStyle w:val="FirstParagraph"/>
      </w:pPr>
      <w:r>
        <w:t xml:space="preserve">La matriz de covarianza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 cada componente admite una descomposición espectral única: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sSub>
            <m:e>
              <m:r>
                <m:t>Λ</m:t>
              </m:r>
            </m:e>
            <m:sub>
              <m:r>
                <m:t>k</m:t>
              </m:r>
            </m:sub>
          </m:sSub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sub>
            </m:sSub>
          </m:e>
        </m:d>
      </m:oMath>
      <w:r>
        <w:t xml:space="preserve"> </w:t>
      </w:r>
      <w:r>
        <w:t xml:space="preserve">contiene los autovalores ordenados en forma decreciente: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…</m:t>
        </m:r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sub>
            </m:sSub>
          </m:e>
        </m:d>
      </m:oMath>
      <w:r>
        <w:t xml:space="preserve"> </w:t>
      </w:r>
      <w:r>
        <w:t xml:space="preserve">es la base ortonormal de autovectores. El autovector principal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define la dirección del semieje mayor del elipsoide de dispersión del clúster.</w:t>
      </w:r>
    </w:p>
    <w:p>
      <w:pPr>
        <w:pStyle w:val="BodyText"/>
      </w:pPr>
      <w:r>
        <w:t xml:space="preserve">Se define el</w:t>
      </w:r>
      <w:r>
        <w:t xml:space="preserve"> </w:t>
      </w:r>
      <w:r>
        <w:rPr>
          <w:bCs/>
          <w:b/>
        </w:rPr>
        <w:t xml:space="preserve">vector canónico de orientación académica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a</m:t>
            </m:r>
            <m:r>
              <m:t>c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w</m:t>
              </m:r>
            </m:e>
            <m:sub>
              <m:r>
                <m:t>a</m:t>
              </m:r>
              <m:r>
                <m:t>c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  <m:r>
                        <m:t>u</m:t>
                      </m:r>
                      <m:r>
                        <m:t>d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a</m:t>
                      </m:r>
                      <m:r>
                        <m:t>t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s</m:t>
                      </m:r>
                      <m:r>
                        <m:t>l</m:t>
                      </m:r>
                      <m:r>
                        <m:t>e</m:t>
                      </m:r>
                      <m:r>
                        <m:t>e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  <m:r>
                        <m:t>p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  <m:r>
                        <m:t>p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l</m:t>
                      </m:r>
                      <m:r>
                        <m:t>e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p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v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con coeficientes normalizados donde los hábitos favorables presentan signo positivo (</w:t>
      </w:r>
      <m:oMath>
        <m:r>
          <m:rPr>
            <m:sty m:val="p"/>
          </m:rPr>
          <m:t>+</m:t>
        </m:r>
        <m:r>
          <m:t>1</m:t>
        </m:r>
      </m:oMath>
      <w:r>
        <w:t xml:space="preserve">), los hábitos de ocio no controlado signo negativo (</w:t>
      </w:r>
      <m:oMath>
        <m:r>
          <m:rPr>
            <m:sty m:val="p"/>
          </m:rPr>
          <m:t>−</m:t>
        </m:r>
        <m:r>
          <m:t>1</m:t>
        </m:r>
      </m:oMath>
      <w:r>
        <w:t xml:space="preserve">) y las variables fisiológicas ponderaciones estables.</w:t>
      </w:r>
    </w:p>
    <w:p>
      <w:pPr>
        <w:pStyle w:val="BodyText"/>
      </w:pPr>
      <w:r>
        <w:t xml:space="preserve">Para cada componente</w:t>
      </w:r>
      <w:r>
        <w:t xml:space="preserve"> </w:t>
      </w:r>
      <m:oMath>
        <m:r>
          <m:t>k</m:t>
        </m:r>
      </m:oMath>
      <w:r>
        <w:t xml:space="preserve">, se calculan: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Desempeño Medio Proyectado (</w:t>
      </w:r>
      <m:oMath>
        <m:sSub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rPr>
          <w:bCs/>
          <w:b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w</m:t>
              </m:r>
            </m:e>
            <m:sub>
              <m:r>
                <m:t>a</m:t>
              </m:r>
              <m:r>
                <m:t>c</m:t>
              </m:r>
              <m:r>
                <m:t>a</m:t>
              </m:r>
              <m:r>
                <m:t>d</m:t>
              </m:r>
            </m:sub>
            <m:sup>
              <m:r>
                <m:t>T</m:t>
              </m:r>
            </m:sup>
          </m:sSubSup>
          <m:sSub>
            <m:e>
              <m:r>
                <m:t>μ</m:t>
              </m:r>
            </m:e>
            <m:sub>
              <m:r>
                <m:t>k</m:t>
              </m:r>
            </m:sub>
          </m:sSub>
        </m:oMath>
      </m:oMathPara>
    </w:p>
    <w:p>
      <w:pPr>
        <w:numPr>
          <w:ilvl w:val="0"/>
          <w:numId w:val="1004"/>
        </w:numPr>
      </w:pPr>
      <w:r>
        <w:rPr>
          <w:bCs/>
          <w:b/>
        </w:rPr>
        <w:t xml:space="preserve">Alineación del Eje de Máxima Varianza (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rPr>
          <w:bCs/>
          <w:b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w</m:t>
              </m:r>
            </m:e>
            <m:sub>
              <m:r>
                <m:t>a</m:t>
              </m:r>
              <m:r>
                <m:t>c</m:t>
              </m:r>
              <m:r>
                <m:t>a</m:t>
              </m:r>
              <m:r>
                <m:t>d</m:t>
              </m:r>
            </m:sub>
            <m:sup>
              <m:r>
                <m:t>T</m:t>
              </m:r>
            </m:sup>
          </m:sSubSup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Un valor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indica que la principal dispersión del grupo se orienta hacia el detrimento académico.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Volumen de Incertidumbre / Varianza Total (</w:t>
      </w:r>
      <m:oMath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k</m:t>
            </m:r>
          </m:sub>
        </m:sSub>
      </m:oMath>
      <w:r>
        <w:rPr>
          <w:bCs/>
          <w:b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Se formula el</w:t>
      </w:r>
      <w:r>
        <w:t xml:space="preserve"> </w:t>
      </w:r>
      <w:r>
        <w:rPr>
          <w:bCs/>
          <w:b/>
        </w:rPr>
        <w:t xml:space="preserve">Índice de Riesgo Pedagógico (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k</m:t>
            </m:r>
          </m:sub>
        </m:sSub>
      </m:oMath>
      <w:r>
        <w:rPr>
          <w:bCs/>
          <w:b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cr m:val="script"/>
                      <m:sty m:val="p"/>
                    </m:rPr>
                    <m:t>V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Los componentes se ordenan de forma monótona creciente según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y se asignan a las cuatro categorías ordinales obligatorias: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Categoría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rPr>
                        <m:nor/>
                      </m:rPr>
                      <m:t>Promoción</m:t>
                    </m:r>
                  </m:e>
                  <m:e>
                    <m:r>
                      <m:rPr>
                        <m:nor/>
                      </m:rPr>
                      <m:t>si 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k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nor/>
                      </m:rPr>
                      <m:t>Aprobado Regular</m:t>
                    </m:r>
                  </m:e>
                  <m:e>
                    <m:r>
                      <m:rPr>
                        <m:nor/>
                      </m:rPr>
                      <m:t>si 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k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nor/>
                      </m:rPr>
                      <m:t>Recuperatorio</m:t>
                    </m:r>
                  </m:e>
                  <m:e>
                    <m:r>
                      <m:rPr>
                        <m:nor/>
                      </m:rPr>
                      <m:t>si 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k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  <m:mr>
                  <m:e>
                    <m:r>
                      <m:rPr>
                        <m:nor/>
                      </m:rPr>
                      <m:t>Riesgo Crítico / Abandono</m:t>
                    </m:r>
                  </m:e>
                  <m:e>
                    <m:r>
                      <m:rPr>
                        <m:nor/>
                      </m:rPr>
                      <m:t>si 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k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≥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bookmarkEnd w:id="26"/>
    <w:bookmarkEnd w:id="27"/>
    <w:bookmarkStart w:id="28" w:name="X462d01e9d1717efa5fab65099dc5a3dc4a60941"/>
    <w:p>
      <w:pPr>
        <w:pStyle w:val="Heading2"/>
      </w:pPr>
      <w:r>
        <w:t xml:space="preserve">3.2 Fase 2: Ingeniería de Atributos, Escalamiento y Binarización Posicional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Desagregación de Tareas:</w:t>
      </w:r>
      <w:r>
        <w:t xml:space="preserve"> </w:t>
      </w:r>
      <w:r>
        <w:t xml:space="preserve">La variable original</w:t>
      </w:r>
      <w:r>
        <w:t xml:space="preserve"> </w:t>
      </w:r>
      <w:r>
        <w:rPr>
          <w:rStyle w:val="VerbatimChar"/>
        </w:rPr>
        <w:t xml:space="preserve">assignments_completed</w:t>
      </w:r>
      <w:r>
        <w:t xml:space="preserve"> </w:t>
      </w:r>
      <w:r>
        <w:t xml:space="preserve">se divide en tres variables independientes:</w:t>
      </w:r>
      <w:r>
        <w:t xml:space="preserve"> </w:t>
      </w:r>
      <w:r>
        <w:rPr>
          <w:rStyle w:val="VerbatimChar"/>
        </w:rPr>
        <w:t xml:space="preserve">task_tp1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task_tp2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task_taller</w:t>
      </w:r>
      <w:r>
        <w:t xml:space="preserve">, rompiendo la ambigüedad de un único escalar global.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Fórmula de Escalamiento a Base 100 de Cátedra:</w:t>
      </w:r>
      <w:r>
        <w:t xml:space="preserve"> </w:t>
      </w:r>
      <w:r>
        <w:t xml:space="preserve">Cada variable continua se transforma mediante la fórmula: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</m:rPr>
            <m:t>Valor Nuevo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</m:rPr>
                    <m:t>Max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</m:rPr>
                    <m:t>Min</m:t>
                  </m:r>
                </m:num>
                <m:den>
                  <m:r>
                    <m:t>100</m:t>
                  </m:r>
                </m:den>
              </m:f>
            </m:e>
          </m:d>
          <m:r>
            <m:rPr>
              <m:sty m:val="p"/>
            </m:rPr>
            <m:t>×</m:t>
          </m:r>
          <m:r>
            <m:rPr>
              <m:nor/>
            </m:rPr>
            <m:t>Valor Actual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Cero Decimales y Magnitud Homogénea:</w:t>
      </w:r>
      <w:r>
        <w:t xml:space="preserve"> </w:t>
      </w:r>
      <w:r>
        <w:t xml:space="preserve">El valor obtenido se redondea formalmente al entero más cercano y se castea a tipo entero nativo (</w:t>
      </w:r>
      <w:r>
        <w:rPr>
          <w:rStyle w:val="VerbatimChar"/>
        </w:rPr>
        <w:t xml:space="preserve">int</w:t>
      </w:r>
      <w:r>
        <w:t xml:space="preserve">), acotándolo en el intervalo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100</m:t>
            </m:r>
          </m:e>
        </m:d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</m:rPr>
            <m:t>Valor Final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nor/>
                    </m:rPr>
                    <m:t>Valor Nuevo</m:t>
                  </m:r>
                  <m:r>
                    <m:rPr>
                      <m:sty m:val="p"/>
                    </m:rPr>
                    <m:t>+</m:t>
                  </m:r>
                  <m:r>
                    <m:t>0.5</m:t>
                  </m:r>
                </m:e>
              </m:d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</m:e>
          </m:d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Discretización por Histograma en 10 Bins:</w:t>
      </w:r>
      <w:r>
        <w:t xml:space="preserve"> </w:t>
      </w:r>
      <w:r>
        <w:t xml:space="preserve">Para cada variable entera, se divide el dominio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100</m:t>
            </m:r>
          </m:e>
        </m:d>
      </m:oMath>
      <w:r>
        <w:t xml:space="preserve"> </w:t>
      </w:r>
      <w:r>
        <w:t xml:space="preserve">en 10 intervalos uniformes de ancho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, asignando a cada instancia un índice de bin entero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⌊"/>
                  <m:sepChr m:val=""/>
                  <m:endChr m:val="⌋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nor/>
                        </m:rPr>
                        <m:t>Valor Final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Codificación Posicional Binaria (4 bits):</w:t>
      </w:r>
      <w:r>
        <w:t xml:space="preserve"> </w:t>
      </w:r>
      <w:r>
        <w:t xml:space="preserve">Cada índice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 transforma en su representación binaria pura de 4 bits:</w:t>
      </w:r>
    </w:p>
    <w:p>
      <w:pPr>
        <w:pStyle w:val="Compac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</m:mPr>
            <m:mr>
              <m:e>
                <m:r>
                  <m:t>0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1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e>
            </m:mr>
            <m:mr>
              <m:e>
                <m:r>
                  <m:t>2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3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e>
            </m:mr>
            <m:mr>
              <m:e>
                <m:r>
                  <m:t>4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5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e>
            </m:mr>
            <m:mr>
              <m:e>
                <m:r>
                  <m:t>6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7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e>
            </m:mr>
            <m:mr>
              <m:e>
                <m:r>
                  <m:t>8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9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e>
            </m:mr>
            <m:mr>
              <m:e>
                <m:r>
                  <m:t>10</m:t>
                </m:r>
              </m:e>
              <m:e>
                <m:r>
                  <m:rPr>
                    <m:sty m:val="p"/>
                  </m:rPr>
                  <m:t>→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mr>
          </m:m>
        </m:oMath>
      </m:oMathPara>
    </w:p>
    <w:p>
      <w:pPr>
        <w:pStyle w:val="Compact"/>
        <w:numPr>
          <w:ilvl w:val="0"/>
          <w:numId w:val="1000"/>
        </w:numPr>
      </w:pPr>
      <w:r>
        <w:t xml:space="preserve">Para un registro compuesto por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variables, el vector de entrada resultante para la capa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 la red es:</w:t>
      </w:r>
    </w:p>
    <w:p>
      <w:pPr>
        <w:pStyle w:val="Compac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4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4</m:t>
              </m:r>
              <m:r>
                <m:t>D</m:t>
              </m:r>
            </m:sup>
          </m:sSup>
        </m:oMath>
      </m:oMathPara>
    </w:p>
    <w:bookmarkEnd w:id="28"/>
    <w:bookmarkStart w:id="37" w:name="X59164c3be6d843f52f05a9c1685caf4d4e6843b"/>
    <w:p>
      <w:pPr>
        <w:pStyle w:val="Heading2"/>
      </w:pPr>
      <w:r>
        <w:t xml:space="preserve">3.3 Fase 3: Dinámica Algorítmica ART 1 (Box 3, Clifford Lau, 1992)</w:t>
      </w:r>
    </w:p>
    <w:p>
      <w:pPr>
        <w:pStyle w:val="FirstParagraph"/>
      </w:pPr>
      <w:r>
        <w:t xml:space="preserve">La red Carpenter-Grossberg 1 opera bajo la dinámica estricta descrita en el material oficial (</w:t>
      </w:r>
      <w:r>
        <w:rPr>
          <w:iCs/>
          <w:i/>
        </w:rPr>
        <w:t xml:space="preserve">Lau, 1992, pp. 12-14</w:t>
      </w:r>
      <w:r>
        <w:t xml:space="preserve">):</w:t>
      </w:r>
    </w:p>
    <w:bookmarkStart w:id="29" w:name="paso-1-inicialización"/>
    <w:p>
      <w:pPr>
        <w:pStyle w:val="Heading3"/>
      </w:pPr>
      <w:r>
        <w:t xml:space="preserve">Paso 1: Inicialización</w:t>
      </w:r>
    </w:p>
    <w:p>
      <w:pPr>
        <w:pStyle w:val="Compact"/>
        <w:numPr>
          <w:ilvl w:val="0"/>
          <w:numId w:val="1006"/>
        </w:numPr>
      </w:pPr>
      <w:r>
        <w:t xml:space="preserve">Dimensión de entrada: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D</m:t>
        </m:r>
      </m:oMath>
      <w:r>
        <w:t xml:space="preserve"> </w:t>
      </w:r>
      <w:r>
        <w:t xml:space="preserve">bits. Capacidad máxima de categorías en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Parámetro de vigilancia: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Pesos de avance (</w:t>
      </w:r>
      <w:r>
        <w:rPr>
          <w:iCs/>
          <w:i/>
        </w:rPr>
        <w:t xml:space="preserve">Bottom-Up</w:t>
      </w:r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Pesos de realimentación (</w:t>
      </w:r>
      <w:r>
        <w:rPr>
          <w:iCs/>
          <w:i/>
        </w:rPr>
        <w:t xml:space="preserve">Top-Down</w:t>
      </w:r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j</m:t>
              </m:r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29"/>
    <w:bookmarkStart w:id="30" w:name="X6c87f064b82af3221cee19ba24e01db1dacd00b"/>
    <w:p>
      <w:pPr>
        <w:pStyle w:val="Heading3"/>
      </w:pPr>
      <w:r>
        <w:t xml:space="preserve">Paso 2: Presentación del Vector de Entrada</w:t>
      </w:r>
    </w:p>
    <w:p>
      <w:pPr>
        <w:pStyle w:val="FirstParagraph"/>
      </w:pPr>
      <w:r>
        <w:t xml:space="preserve">Se ingresa el vector binario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0"/>
    <w:bookmarkStart w:id="31" w:name="Xeea58a470855728b02705b726fa148ca392accd"/>
    <w:p>
      <w:pPr>
        <w:pStyle w:val="Heading3"/>
      </w:pPr>
      <w:r>
        <w:t xml:space="preserve">Paso 3: Cálculo de Activación en la Capa de Salida (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Se calcula el puntaje de coincidencia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para todas las categorías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no inhibidas: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31"/>
    <w:bookmarkStart w:id="32" w:name="X0dd4783c189a2bfb210cb6ab314fda81bb9719e"/>
    <w:p>
      <w:pPr>
        <w:pStyle w:val="Heading3"/>
      </w:pPr>
      <w:r>
        <w:t xml:space="preserve">Paso 4: Selección de la Categoría Candidata (</w:t>
      </w:r>
      <w:r>
        <w:rPr>
          <w:iCs/>
          <w:i/>
        </w:rPr>
        <w:t xml:space="preserve">Winner-Take-All / Maxnet</w:t>
      </w:r>
      <w:r>
        <w:t xml:space="preserve">)</w:t>
      </w:r>
    </w:p>
    <w:p>
      <w:pPr>
        <w:pStyle w:val="FirstParagraph"/>
      </w:pPr>
      <w:r>
        <w:t xml:space="preserve">Mediante inhibición lateral extensiva, se escoge el nodo con activación máxima: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nor/>
                </m:rPr>
                <m:t>Activos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bookmarkEnd w:id="32"/>
    <w:bookmarkStart w:id="33" w:name="paso-5-test-de-vigilancia"/>
    <w:p>
      <w:pPr>
        <w:pStyle w:val="Heading3"/>
      </w:pPr>
      <w:r>
        <w:t xml:space="preserve">Paso 5: Test de Vigilancia</w:t>
      </w:r>
    </w:p>
    <w:p>
      <w:pPr>
        <w:pStyle w:val="FirstParagraph"/>
      </w:pPr>
      <w:r>
        <w:t xml:space="preserve">Se contrasta la similitud entre la plantilla prototípica del nodo ganador</w:t>
      </w:r>
      <w:r>
        <w:t xml:space="preserve"> </w:t>
      </w:r>
      <m:oMath>
        <m:sSub>
          <m:e>
            <m:r>
              <m:t>T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y el vector presentado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sSub>
            <m:e>
              <m:r>
                <m:t>T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∩</m:t>
          </m:r>
          <m:r>
            <m:t>X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t</m:t>
                  </m:r>
                </m:e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Criterio: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T</m:t>
                  </m:r>
                </m:e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∩</m:t>
              </m:r>
              <m:r>
                <m:t>X</m:t>
              </m:r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&gt;</m:t>
          </m:r>
          <m:r>
            <m:t>ρ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Si es afirmativo (</w:t>
      </w:r>
      <m:oMath>
        <m:r>
          <m:rPr>
            <m:nor/>
          </m:rPr>
          <m:t>Ratio</m:t>
        </m:r>
        <m:r>
          <m:rPr>
            <m:sty m:val="p"/>
          </m:rPr>
          <m:t>&gt;</m:t>
        </m:r>
        <m:r>
          <m:t>ρ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Ocurre la</w:t>
      </w:r>
      <w:r>
        <w:t xml:space="preserve"> </w:t>
      </w:r>
      <w:r>
        <w:rPr>
          <w:bCs/>
          <w:b/>
        </w:rPr>
        <w:t xml:space="preserve">Resonancia Adaptativa</w:t>
      </w:r>
      <w:r>
        <w:t xml:space="preserve">. Proceder al</w:t>
      </w:r>
      <w:r>
        <w:t xml:space="preserve"> </w:t>
      </w:r>
      <w:r>
        <w:rPr>
          <w:bCs/>
          <w:b/>
        </w:rPr>
        <w:t xml:space="preserve">Paso 7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Si es negativo (</w:t>
      </w:r>
      <m:oMath>
        <m:r>
          <m:rPr>
            <m:nor/>
          </m:rPr>
          <m:t>Ratio</m:t>
        </m:r>
        <m:r>
          <m:rPr>
            <m:sty m:val="p"/>
          </m:rPr>
          <m:t>≤</m:t>
        </m:r>
        <m:r>
          <m:t>ρ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Se activa la señal de</w:t>
      </w:r>
      <w:r>
        <w:t xml:space="preserve"> </w:t>
      </w:r>
      <w:r>
        <w:rPr>
          <w:bCs/>
          <w:b/>
        </w:rPr>
        <w:t xml:space="preserve">Mismatch Reset</w:t>
      </w:r>
      <w:r>
        <w:t xml:space="preserve">. Proceder al</w:t>
      </w:r>
      <w:r>
        <w:t xml:space="preserve"> </w:t>
      </w:r>
      <w:r>
        <w:rPr>
          <w:bCs/>
          <w:b/>
        </w:rPr>
        <w:t xml:space="preserve">Paso 6</w:t>
      </w:r>
      <w:r>
        <w:t xml:space="preserve">.</w:t>
      </w:r>
    </w:p>
    <w:bookmarkEnd w:id="33"/>
    <w:bookmarkStart w:id="34" w:name="X06e98bad887371a365e52c534867d380f8da0a0"/>
    <w:p>
      <w:pPr>
        <w:pStyle w:val="Heading3"/>
      </w:pPr>
      <w:r>
        <w:t xml:space="preserve">Paso 6: Inhibición del Nodo y Búsqueda (</w:t>
      </w:r>
      <w:r>
        <w:rPr>
          <w:iCs/>
          <w:i/>
        </w:rPr>
        <w:t xml:space="preserve">Reset Mechanism</w:t>
      </w:r>
      <w:r>
        <w:t xml:space="preserve">)</w:t>
      </w:r>
    </w:p>
    <w:p>
      <w:pPr>
        <w:pStyle w:val="FirstParagraph"/>
      </w:pPr>
      <w:r>
        <w:t xml:space="preserve">La salida del nodo ganador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se inhibe temporalmente (</w:t>
      </w:r>
      <m:oMath>
        <m:sSub>
          <m:e>
            <m:r>
              <m:t>μ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) durante la presentación de</w:t>
      </w:r>
      <w:r>
        <w:t xml:space="preserve"> </w:t>
      </w:r>
      <m:oMath>
        <m:r>
          <m:t>X</m:t>
        </m:r>
      </m:oMath>
      <w:r>
        <w:t xml:space="preserve">. Si restan nodos disponibles, se retorna al</w:t>
      </w:r>
      <w:r>
        <w:t xml:space="preserve"> </w:t>
      </w:r>
      <w:r>
        <w:rPr>
          <w:bCs/>
          <w:b/>
        </w:rPr>
        <w:t xml:space="preserve">Paso 3</w:t>
      </w:r>
      <w:r>
        <w:t xml:space="preserve">. Si todos los nodos comprometidos fallan el test de vigilancia, se compromete un nuevo nodo virgen (</w:t>
      </w:r>
      <w:r>
        <w:rPr>
          <w:iCs/>
          <w:i/>
        </w:rPr>
        <w:t xml:space="preserve">uncommitted node</w:t>
      </w:r>
      <w:r>
        <w:t xml:space="preserve">), pasando al</w:t>
      </w:r>
      <w:r>
        <w:t xml:space="preserve"> </w:t>
      </w:r>
      <w:r>
        <w:rPr>
          <w:bCs/>
          <w:b/>
        </w:rPr>
        <w:t xml:space="preserve">Paso 7</w:t>
      </w:r>
      <w:r>
        <w:t xml:space="preserve">.</w:t>
      </w:r>
    </w:p>
    <w:bookmarkEnd w:id="34"/>
    <w:bookmarkStart w:id="35" w:name="paso-7-adaptación-de-pesos-fast-learning"/>
    <w:p>
      <w:pPr>
        <w:pStyle w:val="Heading3"/>
      </w:pPr>
      <w:r>
        <w:t xml:space="preserve">Paso 7: Adaptación de Pesos (</w:t>
      </w:r>
      <w:r>
        <w:rPr>
          <w:iCs/>
          <w:i/>
        </w:rPr>
        <w:t xml:space="preserve">Fast Learning</w:t>
      </w:r>
      <w:r>
        <w:t xml:space="preserve">)</w:t>
      </w:r>
    </w:p>
    <w:p>
      <w:pPr>
        <w:pStyle w:val="FirstParagraph"/>
      </w:pPr>
      <w:r>
        <w:t xml:space="preserve">El prototipo top-down se actualiza aplicando el operador lógico binario AND entre la plantilla almacenada y la entrada actual: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∧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La matriz de pesos bottom-up asociada al nodo ganador se actualiza conforme 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i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0.5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j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k</m:t>
                      </m:r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i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0.5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T</m:t>
                  </m:r>
                </m:e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∥</m:t>
              </m:r>
            </m:den>
          </m:f>
        </m:oMath>
      </m:oMathPara>
    </w:p>
    <w:bookmarkEnd w:id="35"/>
    <w:bookmarkStart w:id="36" w:name="paso-8-reactivación-y-siguiente-ciclo"/>
    <w:p>
      <w:pPr>
        <w:pStyle w:val="Heading3"/>
      </w:pPr>
      <w:r>
        <w:t xml:space="preserve">Paso 8: Reactivación y Siguiente Ciclo</w:t>
      </w:r>
    </w:p>
    <w:p>
      <w:pPr>
        <w:pStyle w:val="FirstParagraph"/>
      </w:pPr>
      <w:r>
        <w:t xml:space="preserve">Se restablecen todas las inhibiciones aplicadas en el Paso 6 y se presenta la siguiente instancia.</w:t>
      </w:r>
    </w:p>
    <w:bookmarkEnd w:id="36"/>
    <w:bookmarkEnd w:id="37"/>
    <w:bookmarkStart w:id="38" w:name="Xca18fdd6a28207e89d276c5cbd1b980a93f65ab"/>
    <w:p>
      <w:pPr>
        <w:pStyle w:val="Heading2"/>
      </w:pPr>
      <w:r>
        <w:t xml:space="preserve">3.4 Fenómeno de Degradación por AND y Calibración de</w:t>
      </w:r>
      <w:r>
        <w:t xml:space="preserve"> </w:t>
      </w:r>
      <m:oMath>
        <m:r>
          <m:t>ρ</m:t>
        </m:r>
      </m:oMath>
    </w:p>
    <w:p>
      <w:pPr>
        <w:pStyle w:val="FirstParagraph"/>
      </w:pPr>
      <w:r>
        <w:t xml:space="preserve">Dado que la actualización top-down es conjuntiva (</w:t>
      </w:r>
      <m:oMath>
        <m:sSub>
          <m:e>
            <m:r>
              <m:t>t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b>
          <m:e>
            <m:r>
              <m:t>t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∧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), cualquier bit 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presente en un vector admitido extinguirá irrevocablemente el bit correspondiente en la memoria del clúster: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t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m</m:t>
          </m:r>
          <m:r>
            <m:rPr>
              <m:sty m:val="p"/>
            </m:rPr>
            <m:t>&gt;</m:t>
          </m:r>
          <m:r>
            <m:t>k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Si el parámetro de vigilancia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se configura excesivamente bajo (</w:t>
      </w:r>
      <m:oMath>
        <m:r>
          <m:t>ρ</m:t>
        </m:r>
        <m:r>
          <m:rPr>
            <m:sty m:val="p"/>
          </m:rPr>
          <m:t>&lt;</m:t>
        </m:r>
        <m:r>
          <m:t>0.40</m:t>
        </m:r>
      </m:oMath>
      <w:r>
        <w:t xml:space="preserve">), patrones disímiles o ruidosos convergerán en un mismo nodo, vaciando progresivamente la plantilla hacia un vector nulo (</w:t>
      </w:r>
      <m:oMath>
        <m:sSub>
          <m:e>
            <m:r>
              <m:t>T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→</m:t>
        </m:r>
        <m:r>
          <m:rPr>
            <m:sty m:val="b"/>
          </m:rPr>
          <m:t>0</m:t>
        </m:r>
      </m:oMath>
      <w:r>
        <w:t xml:space="preserve">), provocando saturación categórica.</w:t>
      </w:r>
    </w:p>
    <w:p>
      <w:pPr>
        <w:pStyle w:val="Compact"/>
        <w:numPr>
          <w:ilvl w:val="0"/>
          <w:numId w:val="1008"/>
        </w:numPr>
      </w:pPr>
      <w:r>
        <w:t xml:space="preserve">Si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se sitúa excesivamente cerca de la unidad (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), variaciones mínimas de un único bit dispararán la señal de Reset, forzando la creación innecesaria de un nodo por cada patrón y destruyendo la capacidad de abstracción.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Estrategia de Mitigación:</w:t>
      </w:r>
      <w:r>
        <w:t xml:space="preserve"> </w:t>
      </w:r>
      <w:r>
        <w:t xml:space="preserve">Se implementa un barrido sistemático de sensibilidad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0.10</m:t>
            </m:r>
            <m:r>
              <m:rPr>
                <m:sty m:val="p"/>
              </m:rPr>
              <m:t>,</m:t>
            </m:r>
            <m:r>
              <m:t>0.90</m:t>
            </m:r>
          </m:e>
        </m:d>
      </m:oMath>
      <w:r>
        <w:t xml:space="preserve"> </w:t>
      </w:r>
      <w:r>
        <w:t xml:space="preserve">con paso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sobre el 80% del conjunto de entrenamiento, identificando la meseta de estabilidad donde la tasa de compresión</w:t>
      </w:r>
      <w:r>
        <w:t xml:space="preserve"> </w:t>
      </w:r>
      <m:oMath>
        <m:r>
          <m:rPr>
            <m:nor/>
          </m:rPr>
          <m:t>CR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0.08</m:t>
            </m:r>
            <m:r>
              <m:rPr>
                <m:sty m:val="p"/>
              </m:rPr>
              <m:t>,</m:t>
            </m:r>
            <m:r>
              <m:t>0.20</m:t>
            </m:r>
          </m:e>
        </m:d>
      </m:oMath>
      <w:r>
        <w:t xml:space="preserve"> </w:t>
      </w:r>
      <w:r>
        <w:t xml:space="preserve">y la tasa de reset se mantengan controladas.</w:t>
      </w:r>
    </w:p>
    <w:bookmarkEnd w:id="38"/>
    <w:bookmarkStart w:id="39" w:name="X5ee180ce186cb8d155b94fad5fa8c4c55d1c8dc"/>
    <w:p>
      <w:pPr>
        <w:pStyle w:val="Heading2"/>
      </w:pPr>
      <w:r>
        <w:t xml:space="preserve">3.5 Matriz Consolidada de Métricas de Evaluación</w:t>
      </w:r>
    </w:p>
    <w:tbl>
      <w:tblPr>
        <w:tblStyle w:val="Table"/>
        <w:tblW w:w="9412" w:type="dxa"/>
        <w:jc w:val="star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500"/>
        <w:gridCol w:w="1700"/>
        <w:gridCol w:w="3300"/>
        <w:gridCol w:w="2912"/>
      </w:tblGrid>
      <w:tr>
        <w:trPr>
          <w:tblHeader w:val="true"/>
          <w:cantSplit/>
          <w:tblHeader/>
        </w:trPr>
        <w:tc>
          <w:tcPr>
            <w:tcW w:w="1500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Nivel del Sistema</w:t>
            </w:r>
          </w:p>
        </w:tc>
        <w:tc>
          <w:tcPr>
            <w:tcW w:w="1700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Métrica Formal</w:t>
            </w:r>
          </w:p>
        </w:tc>
        <w:tc>
          <w:tcPr>
            <w:tcW w:w="3300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Expresión Matemática</w:t>
            </w:r>
          </w:p>
        </w:tc>
        <w:tc>
          <w:tcPr>
            <w:tcW w:w="2912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Criterio de Éxito / Interpretación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EM: Ajuste</w:t>
            </w:r>
          </w:p>
        </w:tc>
        <w:tc>
          <w:tcPr>
            <w:tcW w:w="17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Log-Likelihood (</w:t>
            </w:r>
            <m:oMath>
              <m:r>
                <m:rPr>
                  <m:sty m:val="p"/>
                </m:rPr>
                <m:t>ln</m:t>
              </m:r>
              <m:r>
                <m:t>L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>
            <w:tcW w:w="3300" w:type="dxa"/>
          </w:tcPr>
          <w:p>
            <w:pPr>
              <w:pStyle w:val="Compact"/>
              <w:spacing w:after="0" w:before="0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cr m:val="script"/>
                  <m:sty m:val="p"/>
                </m:rP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  <w:tc>
          <w:tcPr>
            <w:tcW w:w="29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Convergencia monotónica estricta del algoritmo EM.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EM: Parsimonia</w:t>
            </w:r>
          </w:p>
        </w:tc>
        <w:tc>
          <w:tcPr>
            <w:tcW w:w="17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Criterio BIC</w:t>
            </w:r>
          </w:p>
        </w:tc>
        <w:tc>
          <w:tcPr>
            <w:tcW w:w="33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acc>
                <m:accPr>
                  <m:chr m:val="̂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</w:p>
        </w:tc>
        <w:tc>
          <w:tcPr>
            <w:tcW w:w="29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Mínimo local que define la cantidad óptima</w:t>
            </w:r>
            <w:r>
              <w:rPr>
                <w:sz w:val="18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EM: Parsimonia</w:t>
            </w:r>
          </w:p>
        </w:tc>
        <w:tc>
          <w:tcPr>
            <w:tcW w:w="17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Criterio AIC</w:t>
            </w:r>
          </w:p>
        </w:tc>
        <w:tc>
          <w:tcPr>
            <w:tcW w:w="3300" w:type="dxa"/>
          </w:tcPr>
          <w:p>
            <w:pPr>
              <w:pStyle w:val="Compact"/>
              <w:spacing w:after="0" w:before="0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acc>
                <m:accPr>
                  <m:chr m:val="̂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p</m:t>
              </m:r>
            </m:oMath>
          </w:p>
        </w:tc>
        <w:tc>
          <w:tcPr>
            <w:tcW w:w="29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Indicador complementario de penalización paramétrica.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EM: Cohesión</w:t>
            </w:r>
          </w:p>
        </w:tc>
        <w:tc>
          <w:tcPr>
            <w:tcW w:w="17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Silhouette Score (</w:t>
            </w:r>
            <m:oMath>
              <m:r>
                <m:t>s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>
            <w:tcW w:w="33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e>
                  </m:d>
                </m:den>
              </m:f>
            </m:oMath>
          </w:p>
        </w:tc>
        <w:tc>
          <w:tcPr>
            <w:tcW w:w="29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Promedio global</w:t>
            </w:r>
            <w:r>
              <w:rPr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≥</m:t>
              </m:r>
              <m:r>
                <m:t>0.40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sobre datos continuos.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EM: Certeza</w:t>
            </w:r>
          </w:p>
        </w:tc>
        <w:tc>
          <w:tcPr>
            <w:tcW w:w="17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Entropía de Responsabilidades</w:t>
            </w:r>
          </w:p>
        </w:tc>
        <w:tc>
          <w:tcPr>
            <w:tcW w:w="3300" w:type="dxa"/>
          </w:tcPr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γ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d>
            </m:oMath>
          </w:p>
        </w:tc>
        <w:tc>
          <w:tcPr>
            <w:tcW w:w="2912" w:type="dxa"/>
          </w:tcPr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γ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indica fronteras gaussianas bien definidas.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ART 1: Pureza</w:t>
            </w:r>
          </w:p>
        </w:tc>
        <w:tc>
          <w:tcPr>
            <w:tcW w:w="17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Pureza de Clúster Ex-Post</w:t>
            </w:r>
          </w:p>
        </w:tc>
        <w:tc>
          <w:tcPr>
            <w:tcW w:w="33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m:oMath>
              <m:r>
                <m:rPr>
                  <m:nor/>
                </m:rPr>
                <m:t>Purity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rPr>
                  <m:sty m:val="p"/>
                </m:rPr>
                <m:t>∥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  <w:tc>
          <w:tcPr>
            <w:tcW w:w="29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respecto al estado ordinal de riesgo EM.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ART 1: Dispersión</w:t>
            </w:r>
          </w:p>
        </w:tc>
        <w:tc>
          <w:tcPr>
            <w:tcW w:w="17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Entropía de Notas de Examen</w:t>
            </w:r>
          </w:p>
        </w:tc>
        <w:tc>
          <w:tcPr>
            <w:tcW w:w="3300" w:type="dxa"/>
          </w:tcPr>
          <w:p>
            <w:pPr>
              <w:pStyle w:val="Compact"/>
              <w:spacing w:after="0" w:before="0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</m:rPr>
                    <m:t>Exam Score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>
            <w:tcW w:w="29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Varianza mínima dentro de cada nodo consolidado.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ART 1: Memoria</w:t>
            </w:r>
          </w:p>
        </w:tc>
        <w:tc>
          <w:tcPr>
            <w:tcW w:w="17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Tasa de Compresión (</w:t>
            </w:r>
            <m:oMath>
              <m:r>
                <m:rPr>
                  <m:nor/>
                </m:rPr>
                <m:t>CR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>
            <w:tcW w:w="3300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m:oMath>
              <m:r>
                <m:rPr>
                  <m:nor/>
                </m:rPr>
                <m:t>CR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</m:rPr>
                        <m:t>activos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</m:rPr>
                        <m:t>total</m:t>
                      </m:r>
                    </m:sub>
                  </m:sSub>
                </m:den>
              </m:f>
            </m:oMath>
          </w:p>
        </w:tc>
        <w:tc>
          <w:tcPr>
            <w:tcW w:w="29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m:oMath>
              <m:r>
                <m:t>0.05</m:t>
              </m:r>
              <m:r>
                <m:rPr>
                  <m:sty m:val="p"/>
                </m:rPr>
                <m:t>≤</m:t>
              </m:r>
              <m:r>
                <m:rPr>
                  <m:nor/>
                </m:rPr>
                <m:t>CR</m:t>
              </m:r>
              <m:r>
                <m:rPr>
                  <m:sty m:val="p"/>
                </m:rPr>
                <m:t>≤</m:t>
              </m:r>
              <m:r>
                <m:t>0.20</m:t>
              </m:r>
            </m:oMath>
            <w:r>
              <w:rPr>
                <w:sz w:val="18"/>
              </w:rPr>
              <w:t xml:space="preserve">; equilibrio entre especificidad y generalización.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ART 1: Dinámica</w:t>
            </w:r>
          </w:p>
        </w:tc>
        <w:tc>
          <w:tcPr>
            <w:tcW w:w="170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Frecuencia de Resets (</w:t>
            </w:r>
            <m:oMath>
              <m:r>
                <m:rPr>
                  <m:nor/>
                </m:rPr>
                <m:t>RR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>
            <w:tcW w:w="3300" w:type="dxa"/>
          </w:tcPr>
          <w:p>
            <w:pPr>
              <w:pStyle w:val="Compact"/>
              <w:spacing w:after="0" w:before="0"/>
              <w:jc w:val="left"/>
            </w:pPr>
            <m:oMath>
              <m:r>
                <m:rPr>
                  <m:nor/>
                </m:rPr>
                <m:t>RR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</m:rPr>
                    <m:t>Total Resets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</m:rPr>
                        <m:t>total</m:t>
                      </m:r>
                    </m:sub>
                  </m:sSub>
                </m:den>
              </m:f>
            </m:oMath>
          </w:p>
        </w:tc>
        <w:tc>
          <w:tcPr>
            <w:tcW w:w="29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Indicador de fricción y divergencia con prototipos.</w:t>
            </w:r>
          </w:p>
        </w:tc>
      </w:tr>
    </w:tbl>
    <w:bookmarkEnd w:id="39"/>
    <w:bookmarkEnd w:id="40"/>
    <w:bookmarkStart w:id="41" w:name="X83fec5b9a5465b1d202595b534e6986f120adfa"/>
    <w:p>
      <w:pPr>
        <w:pStyle w:val="Heading1"/>
      </w:pPr>
      <w:r>
        <w:t xml:space="preserve">4. ARQUITECTURA DEL REPOSITORIO Y ORGANIZACIÓN DE ARCHIVOS</w:t>
      </w:r>
    </w:p>
    <w:p>
      <w:pPr>
        <w:pStyle w:val="SourceCode"/>
      </w:pPr>
      <w:r>
        <w:rPr>
          <w:rStyle w:val="VerbatimChar"/>
        </w:rPr>
        <w:t xml:space="preserve">c:/Users/Juan/Documents/Inteligencia Artificial/TFI/</w:t>
      </w:r>
      <w:r>
        <w:br/>
      </w:r>
      <w:r>
        <w:rPr>
          <w:rStyle w:val="VerbatimChar"/>
        </w:rPr>
        <w:t xml:space="preserve">├── CarGross.py                     # Entrypoint CLI ejecutable unificado (Orquestador principal)</w:t>
      </w:r>
      <w:r>
        <w:br/>
      </w:r>
      <w:r>
        <w:rPr>
          <w:rStyle w:val="VerbatimChar"/>
        </w:rPr>
        <w:t xml:space="preserve">├── requirements.txt                # Dependencias fijadas (numpy&gt;=1.20, pandas&gt;=1.3, scikit-learn&gt;=1.0, pytest&gt;=7.0)</w:t>
      </w:r>
      <w:r>
        <w:br/>
      </w:r>
      <w:r>
        <w:rPr>
          <w:rStyle w:val="VerbatimChar"/>
        </w:rPr>
        <w:t xml:space="preserve">├── README.md                       # Resumen ejecutivo y guía rápida de clonación</w:t>
      </w:r>
      <w:r>
        <w:br/>
      </w:r>
      <w:r>
        <w:rPr>
          <w:rStyle w:val="VerbatimChar"/>
        </w:rPr>
        <w:t xml:space="preserve">├── .gitignore                      # Exclusiones de Git (venv, __pycache__, .pytest_cache)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  # Módulos desacoplados del sistema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em_clustering.py            # Clase EMClusterer: GMM, BIC/AIC y descomposición espectral</w:t>
      </w:r>
      <w:r>
        <w:br/>
      </w:r>
      <w:r>
        <w:rPr>
          <w:rStyle w:val="VerbatimChar"/>
        </w:rPr>
        <w:t xml:space="preserve">│   ├── preprocessor.py             # Clase DataPreprocessor: Ingesta, 24hs, desagregación y escalado base 100</w:t>
      </w:r>
      <w:r>
        <w:br/>
      </w:r>
      <w:r>
        <w:rPr>
          <w:rStyle w:val="VerbatimChar"/>
        </w:rPr>
        <w:t xml:space="preserve">│   ├── encoder.py                  # Clase PositionalBinaryEncoder: Histograma 10 bins y codificación 4-bit</w:t>
      </w:r>
      <w:r>
        <w:br/>
      </w:r>
      <w:r>
        <w:rPr>
          <w:rStyle w:val="VerbatimChar"/>
        </w:rPr>
        <w:t xml:space="preserve">│   ├── art1.py                     # Clase CarpenterGrossbergNetwork: Box 3 puro (Lau, 1992)</w:t>
      </w:r>
      <w:r>
        <w:br/>
      </w:r>
      <w:r>
        <w:rPr>
          <w:rStyle w:val="VerbatimChar"/>
        </w:rPr>
        <w:t xml:space="preserve">│   ├── metrics.py                  # Clase ClusterValidator: Métricas unificadas EM + ART 1</w:t>
      </w:r>
      <w:r>
        <w:br/>
      </w:r>
      <w:r>
        <w:rPr>
          <w:rStyle w:val="VerbatimChar"/>
        </w:rPr>
        <w:t xml:space="preserve">│   └── man_pages.py                # Clase ManPageViewer: Manual interactivo integrado ante errores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   # Ingesta y metadatos strictly en formato CSV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│   ├── student_performance.csv # Dataset 1 crudo (Kaggle)</w:t>
      </w:r>
      <w:r>
        <w:br/>
      </w:r>
      <w:r>
        <w:rPr>
          <w:rStyle w:val="VerbatimChar"/>
        </w:rPr>
        <w:t xml:space="preserve">│   │   └── benchmark_features.csv  # Dataset 2 crudo (Benchmark de validación)</w:t>
      </w:r>
      <w:r>
        <w:br/>
      </w:r>
      <w:r>
        <w:rPr>
          <w:rStyle w:val="VerbatimChar"/>
        </w:rPr>
        <w:t xml:space="preserve">│   ├── processed/</w:t>
      </w:r>
      <w:r>
        <w:br/>
      </w:r>
      <w:r>
        <w:rPr>
          <w:rStyle w:val="VerbatimChar"/>
        </w:rPr>
        <w:t xml:space="preserve">│   │   ├── student_scaled_int.csv  # Dataset 1 transformado a enteros en rango [0, 100]</w:t>
      </w:r>
      <w:r>
        <w:br/>
      </w:r>
      <w:r>
        <w:rPr>
          <w:rStyle w:val="VerbatimChar"/>
        </w:rPr>
        <w:t xml:space="preserve">│   │   ├── student_binarized.csv   # Dataset 1 codificado a bits posicionales {0, 1}^M</w:t>
      </w:r>
      <w:r>
        <w:br/>
      </w:r>
      <w:r>
        <w:rPr>
          <w:rStyle w:val="VerbatimChar"/>
        </w:rPr>
        <w:t xml:space="preserve">│   │   ├── benchmark_scaled_int.csv# Dataset 2 transformado a enteros en rango [0, 100]</w:t>
      </w:r>
      <w:r>
        <w:br/>
      </w:r>
      <w:r>
        <w:rPr>
          <w:rStyle w:val="VerbatimChar"/>
        </w:rPr>
        <w:t xml:space="preserve">│   │   └── benchmark_binarized.csv # Dataset 2 codificado a bits posicionales {0, 1}^M</w:t>
      </w:r>
      <w:r>
        <w:br/>
      </w:r>
      <w:r>
        <w:rPr>
          <w:rStyle w:val="VerbatimChar"/>
        </w:rPr>
        <w:t xml:space="preserve">│   └── metadata/</w:t>
      </w:r>
      <w:r>
        <w:br/>
      </w:r>
      <w:r>
        <w:rPr>
          <w:rStyle w:val="VerbatimChar"/>
        </w:rPr>
        <w:t xml:space="preserve">│       ├── student_metadata.csv    # Reglas, desagregación y metadatos del Dataset 1 (CSV)</w:t>
      </w:r>
      <w:r>
        <w:br/>
      </w:r>
      <w:r>
        <w:rPr>
          <w:rStyle w:val="VerbatimChar"/>
        </w:rPr>
        <w:t xml:space="preserve">│       └── benchmark_metadata.csv  # Reglas y metadatos del Dataset 2 (CSV)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# Batería de pruebas automatizadas unitarias e integrales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test_em_math.py             # Verificación de eigenvectores, cálculo de riesgo y BIC/AIC</w:t>
      </w:r>
      <w:r>
        <w:br/>
      </w:r>
      <w:r>
        <w:rPr>
          <w:rStyle w:val="VerbatimChar"/>
        </w:rPr>
        <w:t xml:space="preserve">│   ├── test_preprocessor.py        # Validación de 24 hs, desagregación y casteo int con 0 decimales</w:t>
      </w:r>
      <w:r>
        <w:br/>
      </w:r>
      <w:r>
        <w:rPr>
          <w:rStyle w:val="VerbatimChar"/>
        </w:rPr>
        <w:t xml:space="preserve">│   ├── test_encoder.py             # Verificación de histograma de 10 bins y codificación en 4 bits</w:t>
      </w:r>
      <w:r>
        <w:br/>
      </w:r>
      <w:r>
        <w:rPr>
          <w:rStyle w:val="VerbatimChar"/>
        </w:rPr>
        <w:t xml:space="preserve">│   ├── test_art1_box3.py           # Dinámica ART 1, pesos b_ij, t_ji, test de vigilancia y reset</w:t>
      </w:r>
      <w:r>
        <w:br/>
      </w:r>
      <w:r>
        <w:rPr>
          <w:rStyle w:val="VerbatimChar"/>
        </w:rPr>
        <w:t xml:space="preserve">│   └── test_cli_man.py             # Comprobación de captura de excepciones y despliegue del 'man'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# Documentación formal de cátedra</w:t>
      </w:r>
      <w:r>
        <w:br/>
      </w:r>
      <w:r>
        <w:rPr>
          <w:rStyle w:val="VerbatimChar"/>
        </w:rPr>
        <w:t xml:space="preserve">│   ├── especificacion_arquitectura_em_art1.md # Master de Arquitectura y Especificación Técnica</w:t>
      </w:r>
      <w:r>
        <w:br/>
      </w:r>
      <w:r>
        <w:rPr>
          <w:rStyle w:val="VerbatimChar"/>
        </w:rPr>
        <w:t xml:space="preserve">│   ├── manual_de_referencia.md     # Alcances, limitaciones, instalación, demo, FAQ y REFERENCIAS</w:t>
      </w:r>
      <w:r>
        <w:br/>
      </w:r>
      <w:r>
        <w:rPr>
          <w:rStyle w:val="VerbatimChar"/>
        </w:rPr>
        <w:t xml:space="preserve">│   ├── informe_evaluativo.md       # Informe académico con carátula oficial UADER / IDTI Lab</w:t>
      </w:r>
      <w:r>
        <w:br/>
      </w:r>
      <w:r>
        <w:rPr>
          <w:rStyle w:val="VerbatimChar"/>
        </w:rPr>
        <w:t xml:space="preserve">│   └── guion_presentacion_ppt.md   # Estructura de slides y guion de audio locutado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assets/                         # Artefactos visuales y diagramas</w:t>
      </w:r>
      <w:r>
        <w:br/>
      </w:r>
      <w:r>
        <w:rPr>
          <w:rStyle w:val="VerbatimChar"/>
        </w:rPr>
        <w:t xml:space="preserve">    ├── logo_uader.png</w:t>
      </w:r>
      <w:r>
        <w:br/>
      </w:r>
      <w:r>
        <w:rPr>
          <w:rStyle w:val="VerbatimChar"/>
        </w:rPr>
        <w:t xml:space="preserve">    ├── logo_idti.png</w:t>
      </w:r>
      <w:r>
        <w:br/>
      </w:r>
      <w:r>
        <w:rPr>
          <w:rStyle w:val="VerbatimChar"/>
        </w:rPr>
        <w:t xml:space="preserve">    └── sensitivity_rho_curve.png</w:t>
      </w:r>
    </w:p>
    <w:bookmarkEnd w:id="41"/>
    <w:bookmarkStart w:id="44" w:name="X146b56ffd68977d8813b7089a0b47ca587b6c95"/>
    <w:p>
      <w:pPr>
        <w:pStyle w:val="Heading1"/>
      </w:pPr>
      <w:r>
        <w:t xml:space="preserve">5. ESPECIFICACIÓN TÉCNICA Y DE CLASES DE</w:t>
      </w:r>
      <w:r>
        <w:t xml:space="preserve"> </w:t>
      </w:r>
      <w:r>
        <w:rPr>
          <w:rStyle w:val="VerbatimChar"/>
        </w:rPr>
        <w:t xml:space="preserve">CarGross.py</w:t>
      </w:r>
    </w:p>
    <w:bookmarkStart w:id="42" w:name="implementación-modular-en-python"/>
    <w:p>
      <w:pPr>
        <w:pStyle w:val="Heading2"/>
      </w:pPr>
      <w:r>
        <w:t xml:space="preserve">5.1 Implementación Modular en Python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CarGross.py - Sistema Neuro-Adaptativo Carpenter-Grossberg 1 (ART 1) Híbrido con EM</w:t>
      </w:r>
      <w:r>
        <w:br/>
      </w:r>
      <w:r>
        <w:rPr>
          <w:rStyle w:val="CommentTok"/>
        </w:rPr>
        <w:t xml:space="preserve">Cátedra de Redes Neuronales - UADER / IDTI Lab</w:t>
      </w:r>
      <w:r>
        <w:br/>
      </w:r>
      <w:r>
        <w:rPr>
          <w:rStyle w:val="CommentTok"/>
        </w:rPr>
        <w:t xml:space="preserve">Módulo principal y CLI de ejecución para la Opción Promoción.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Tuple, Dict, Optional, Any, Union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EMClusterer: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Fase 1: Agrupamiento probabilístico de variables continuas originales mediante GMM.</w:t>
      </w:r>
      <w:r>
        <w:br/>
      </w:r>
      <w:r>
        <w:rPr>
          <w:rStyle w:val="CommentTok"/>
        </w:rPr>
        <w:t xml:space="preserve">    Determina K óptimo mediante BIC/AIC y calcula el gradiente de riesgo académico</w:t>
      </w:r>
      <w:r>
        <w:br/>
      </w:r>
      <w:r>
        <w:rPr>
          <w:rStyle w:val="CommentTok"/>
        </w:rPr>
        <w:t xml:space="preserve">    a través de la descomposición espectral (eigenvectores) de la matriz de covarianza.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max_iter: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random_state: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.bic_history: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.aic_history: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.eigenvectors_: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.risk_scores_: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.risk_categories_: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find_optimal_k(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X_cont: np.ndarray, k_range: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Evalúa modelos de mezclas gaussianas en el rango k_range y selecciona K por mínimo BIC.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Parámetros:</w:t>
      </w:r>
      <w:r>
        <w:br/>
      </w:r>
      <w:r>
        <w:rPr>
          <w:rStyle w:val="CommentTok"/>
        </w:rPr>
        <w:t xml:space="preserve">            X_cont: Matriz continua sin binarizar de dimensiones (N, D).</w:t>
      </w:r>
      <w:r>
        <w:br/>
      </w:r>
      <w:r>
        <w:rPr>
          <w:rStyle w:val="CommentTok"/>
        </w:rPr>
        <w:t xml:space="preserve">            k_range: Rango de componentes a evaluar.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Retorna:</w:t>
      </w:r>
      <w:r>
        <w:br/>
      </w:r>
      <w:r>
        <w:rPr>
          <w:rStyle w:val="CommentTok"/>
        </w:rPr>
        <w:t xml:space="preserve">            K_optimo: Entero con la cantidad de componentes seleccionada.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X_cont: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"EMClusterer"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Ajusta el modelo GMM definitivo y ejecuta la descomposición espectral.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compute_spectral_risk(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feature_weights: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Descompone espectralmente Sigma_k = V_k Lambda_k V_k^T para cada componente k.</w:t>
      </w:r>
      <w:r>
        <w:br/>
      </w:r>
      <w:r>
        <w:rPr>
          <w:rStyle w:val="CommentTok"/>
        </w:rPr>
        <w:t xml:space="preserve">        Calcula el índice de riesgo pedagógico R_k y clasifica los clústeres en 4 categorías:</w:t>
      </w:r>
      <w:r>
        <w:br/>
      </w:r>
      <w:r>
        <w:rPr>
          <w:rStyle w:val="CommentTok"/>
        </w:rPr>
        <w:t xml:space="preserve">        ['Promoción', 'Aprobado Regular', 'Recuperatorio', 'Riesgo Crítico / Abandono'].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X_cont: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Retorna:</w:t>
      </w:r>
      <w:r>
        <w:br/>
      </w:r>
      <w:r>
        <w:rPr>
          <w:rStyle w:val="CommentTok"/>
        </w:rPr>
        <w:t xml:space="preserve">            labels: Vector de índices de componentes EM asignados a cada instancia.</w:t>
      </w:r>
      <w:r>
        <w:br/>
      </w:r>
      <w:r>
        <w:rPr>
          <w:rStyle w:val="CommentTok"/>
        </w:rPr>
        <w:t xml:space="preserve">            responsibilities: Matriz posterior gamma_ik de dimensiones (N, K).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Fase 2A: Limpieza, validación horaria, desagregación de tareas</w:t>
      </w:r>
      <w:r>
        <w:br/>
      </w:r>
      <w:r>
        <w:rPr>
          <w:rStyle w:val="CommentTok"/>
        </w:rPr>
        <w:t xml:space="preserve">    y escalamiento obligatorio a base 100 con conversión estricta a int (0 decimales).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metadata_path: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pd.read_csv(metadata_path)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validate_hourly_consistency(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Verifica la restricción de consistencia diaria:</w:t>
      </w:r>
      <w:r>
        <w:br/>
      </w:r>
      <w:r>
        <w:rPr>
          <w:rStyle w:val="CommentTok"/>
        </w:rPr>
        <w:t xml:space="preserve">            sleep_hours + max(study_hours, internet_usage) &lt;= 24 hs</w:t>
      </w:r>
      <w:r>
        <w:br/>
      </w:r>
      <w:r>
        <w:rPr>
          <w:rStyle w:val="CommentTok"/>
        </w:rPr>
        <w:t xml:space="preserve">        Lanza ValueError ante inconsistencias no subsanables.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disaggregate_assignments(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Desagrega la columna 'assignments_completed' en variables independientes:</w:t>
      </w:r>
      <w:r>
        <w:br/>
      </w:r>
      <w:r>
        <w:rPr>
          <w:rStyle w:val="CommentTok"/>
        </w:rPr>
        <w:t xml:space="preserve">        'task_tp1', 'task_tp2', 'task_taller' según metadatos tabulares.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scale_to_base_100_int(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df: pd.DataFrame, continuous_cols: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Aplica la fórmula de cátedra:</w:t>
      </w:r>
      <w:r>
        <w:br/>
      </w:r>
      <w:r>
        <w:rPr>
          <w:rStyle w:val="CommentTok"/>
        </w:rPr>
        <w:t xml:space="preserve">            V_nuevo = ((Max - Min) / 100.0) * V_actual</w:t>
      </w:r>
      <w:r>
        <w:br/>
      </w:r>
      <w:r>
        <w:rPr>
          <w:rStyle w:val="CommentTok"/>
        </w:rPr>
        <w:t xml:space="preserve">        Aplica redondeo formal y casteo a int. Asegura magnitudes de 2 a 3 dígitos [0, 100].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PositionalBinaryEncoder: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Fase 2B: Binarización estricta para la capa F1 de la red ART 1.</w:t>
      </w:r>
      <w:r>
        <w:br/>
      </w:r>
      <w:r>
        <w:rPr>
          <w:rStyle w:val="CommentTok"/>
        </w:rPr>
        <w:t xml:space="preserve">    Discretiza cada variable entera en un histograma de 10 bins (índices 0 a 10)</w:t>
      </w:r>
      <w:r>
        <w:br/>
      </w:r>
      <w:r>
        <w:rPr>
          <w:rStyle w:val="CommentTok"/>
        </w:rPr>
        <w:t xml:space="preserve">    y lo codifica como un vector de 4 bits posicionales.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num_bins: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bits_per_feature: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num_bins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.bits_per_feature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bits_per_feature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int_to_4bit_positional(bin_index: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Codifica un entero 0..10 en su representación binaria de 4 bits:</w:t>
      </w:r>
      <w:r>
        <w:br/>
      </w:r>
      <w:r>
        <w:rPr>
          <w:rStyle w:val="CommentTok"/>
        </w:rPr>
        <w:t xml:space="preserve">            0  -&gt; [0, 0, 0, 0]</w:t>
      </w:r>
      <w:r>
        <w:br/>
      </w:r>
      <w:r>
        <w:rPr>
          <w:rStyle w:val="CommentTok"/>
        </w:rPr>
        <w:t xml:space="preserve">            1  -&gt; [0, 0, 0, 1]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    10 -&gt; [1, 0, 1, 0]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df_scaled_int: pd.DataFrame, feature_cols: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Transforma el DataFrame de enteros en la matriz binaria X in {0, 1}^(len(cols) * 4).</w:t>
      </w:r>
      <w:r>
        <w:br/>
      </w:r>
      <w:r>
        <w:rPr>
          <w:rStyle w:val="CommentTok"/>
        </w:rPr>
        <w:t xml:space="preserve">        Retorna (X_binary, feature_bit_names).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CarpenterGrossbergNetwork: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Fase 3: Implementación matemática estricta de ART 1 (Box 3, Clifford Lau, 1992).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max_categories: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Inicializa las matrices de pesos bottom-up y top-down:</w:t>
      </w:r>
      <w:r>
        <w:br/>
      </w:r>
      <w:r>
        <w:rPr>
          <w:rStyle w:val="CommentTok"/>
        </w:rPr>
        <w:t xml:space="preserve">            b_ij(0) = 1 / (1 + N)</w:t>
      </w:r>
      <w:r>
        <w:br/>
      </w:r>
      <w:r>
        <w:rPr>
          <w:rStyle w:val="CommentTok"/>
        </w:rPr>
        <w:t xml:space="preserve">            t_ji(0) = 1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max_categories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Conexiones Bottom-Up (Avance)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np.full((input_dim, max_categories),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input_dim),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Conexiones Top-Down (Realimentación)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np.ones((max_categories, input_dim),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np.int32)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max_categories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.num_active_clusters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X_bin: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Ajusta la red mediante presentación secuencial de vectores binarios y</w:t>
      </w:r>
      <w:r>
        <w:br/>
      </w:r>
      <w:r>
        <w:rPr>
          <w:rStyle w:val="CommentTok"/>
        </w:rPr>
        <w:t xml:space="preserve">        retorna el vector de categorías ganadoras.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evaluate_pattern(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np.ndarray, update: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Ejecuta el ciclo de activación F2, test de vigilancia (||T_j* ∩ X|| / ||X|| &gt; rho),</w:t>
      </w:r>
      <w:r>
        <w:br/>
      </w:r>
      <w:r>
        <w:rPr>
          <w:rStyle w:val="CommentTok"/>
        </w:rPr>
        <w:t xml:space="preserve">        mecanismo de reset ante mismatch y actualización Fast Learning.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Retorna:</w:t>
      </w:r>
      <w:r>
        <w:br/>
      </w:r>
      <w:r>
        <w:rPr>
          <w:rStyle w:val="CommentTok"/>
        </w:rPr>
        <w:t xml:space="preserve">            (winner_cluster_index, reset_count)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ClusterValidator: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Fase 4: Métricas de rendimiento y validación cruzada ex-post.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calculate_cluster_purity(assigned_clusters: np.ndarray, real_categories: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 la pureza global respecto a la clasificación de riesgo derivada de EM."""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calculate_exam_score_entropy(assigned_clusters: np.ndarray, exam_scores: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 la varianza interna de las notas de examen en cada nodo consolidado."""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compute_summary_table(assigned_clusters: np.ndarray, em_labels: np.ndarray, exam_scores: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 la tabla ex-post comparativa exigida en el informe final."""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ManPageViewer: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Paginador interactivo para terminal del Manual de Referencia de CarGross.</w:t>
      </w:r>
      <w:r>
        <w:br/>
      </w:r>
      <w:r>
        <w:rPr>
          <w:rStyle w:val="CommentTok"/>
        </w:rPr>
        <w:t xml:space="preserve">    Se dispara mediante flag explícito (--man) o ante excepciones en tiempo de ejecución.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exit_code: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"""Imprime la pantalla man completa, resaltando errores si los hubiere."""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42"/>
    <w:bookmarkStart w:id="43" w:name="X724510b8b11638db02d4479afb210553c540367"/>
    <w:p>
      <w:pPr>
        <w:pStyle w:val="Heading2"/>
      </w:pPr>
      <w:r>
        <w:t xml:space="preserve">5.2 Comportamiento del Sistema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y Manejo de Errores</w:t>
      </w:r>
    </w:p>
    <w:p>
      <w:pPr>
        <w:pStyle w:val="FirstParagraph"/>
      </w:pPr>
      <w:r>
        <w:t xml:space="preserve">El entrypoint</w:t>
      </w:r>
      <w:r>
        <w:t xml:space="preserve"> </w:t>
      </w:r>
      <w:r>
        <w:rPr>
          <w:rStyle w:val="VerbatimChar"/>
        </w:rPr>
        <w:t xml:space="preserve">CarGross.py</w:t>
      </w:r>
      <w:r>
        <w:t xml:space="preserve"> </w:t>
      </w:r>
      <w:r>
        <w:t xml:space="preserve">envuelve todo el flujo en un bloque try-catch global de alto nivel: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build_cli_parser()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args.man:</w:t>
      </w:r>
      <w:r>
        <w:br/>
      </w:r>
      <w:r>
        <w:rPr>
          <w:rStyle w:val="NormalTok"/>
        </w:rPr>
        <w:t xml:space="preserve">            ManPageViewer.render(exit_code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run_pipeline(args)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argparse dispara SystemExit(2) ante errores de flags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se.code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ManPageViewer.render(</w:t>
      </w:r>
      <w:r>
        <w:br/>
      </w:r>
      <w:r>
        <w:rPr>
          <w:rStyle w:val="NormalTok"/>
        </w:rPr>
        <w:t xml:space="preserve">                error_message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 de sintaxis en los argumentos de consola suministrados."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exit_code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se.code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fnf:</w:t>
      </w:r>
      <w:r>
        <w:br/>
      </w:r>
      <w:r>
        <w:rPr>
          <w:rStyle w:val="NormalTok"/>
        </w:rPr>
        <w:t xml:space="preserve">        ManPageViewer.render(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f"Archivo CSV no encontrado: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exit_code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ve:</w:t>
      </w:r>
      <w:r>
        <w:br/>
      </w:r>
      <w:r>
        <w:rPr>
          <w:rStyle w:val="NormalTok"/>
        </w:rPr>
        <w:t xml:space="preserve">        ManPageViewer.render(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f"Fallo de validación en los datos: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exit_code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    ManPageViewer.render(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f"Excepción inesperada en la ejecución del pipeline: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exit_code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43"/>
    <w:bookmarkEnd w:id="44"/>
    <w:bookmarkStart w:id="49" w:name="plan-de-trabajo-roadmap-wbs-y-cronograma"/>
    <w:p>
      <w:pPr>
        <w:pStyle w:val="Heading1"/>
      </w:pPr>
      <w:r>
        <w:t xml:space="preserve">6. PLAN DE TRABAJO (ROADMAP / WBS Y CRONOGRAMA)</w:t>
      </w:r>
    </w:p>
    <w:p>
      <w:pPr>
        <w:pStyle w:val="FirstParagraph"/>
      </w:pPr>
      <w:r>
        <w:t xml:space="preserve">Se estructuran cuatro (4) Sprints de trabajo secuencial e integrado orientados al cumplimiento de la opción promoción:</w:t>
      </w:r>
    </w:p>
    <w:p>
      <w:pPr>
        <w:pStyle w:val="CaptionedFigure"/>
      </w:pPr>
      <w:r>
        <w:drawing>
          <wp:inline>
            <wp:extent cx="5903999" cy="3348941"/>
            <wp:effectExtent b="0" l="0" r="0" t="0"/>
            <wp:docPr descr="Figura 2. Cronograma de ejecución del TFI (EM + ART 1) en cuatro sprints." title="" id="46" name="Picture"/>
            <a:graphic>
              <a:graphicData uri="http://schemas.openxmlformats.org/drawingml/2006/picture">
                <pic:pic>
                  <pic:nvPicPr>
                    <pic:cNvPr descr="gant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34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Cronograma de ejecución del TFI (EM + ART 1) en cuatro sprints.</w:t>
      </w:r>
    </w:p>
    <w:bookmarkStart w:id="48" w:name="matriz-de-responsabilidades-raci"/>
    <w:p>
      <w:pPr>
        <w:pStyle w:val="Heading2"/>
      </w:pPr>
      <w:r>
        <w:t xml:space="preserve">6.1 Matriz de Responsabilidades (RACI)</w:t>
      </w:r>
    </w:p>
    <w:p>
      <w:pPr>
        <w:pStyle w:val="FirstParagraph"/>
      </w:pPr>
      <w:r>
        <w:rPr>
          <w:iCs/>
          <w:i/>
        </w:rPr>
        <w:t xml:space="preserve">Convención: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= Responsable de ejecución,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Aprobador final (Tech Lead),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Consultado,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Informado.</w:t>
      </w:r>
    </w:p>
    <w:tbl>
      <w:tblPr>
        <w:tblStyle w:val="Table"/>
        <w:tblW w:w="9412" w:type="dxa"/>
        <w:jc w:val="star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612"/>
        <w:gridCol w:w="1450"/>
        <w:gridCol w:w="1450"/>
        <w:gridCol w:w="1450"/>
        <w:gridCol w:w="1450"/>
      </w:tblGrid>
      <w:tr>
        <w:trPr>
          <w:tblHeader w:val="true"/>
          <w:cantSplit/>
          <w:tblHeader/>
        </w:trPr>
        <w:tc>
          <w:tcPr>
            <w:tcW w:w="3612" w:type="dxa"/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Módulo / Entregable</w:t>
            </w:r>
          </w:p>
        </w:tc>
        <w:tc>
          <w:tcPr>
            <w:tcW w:w="1450" w:type="dxa"/>
            <w:shd w:val="clear" w:color="auto" w:fill="1F3A5F"/>
          </w:tcPr>
          <w:p>
            <w:pPr>
              <w:pStyle w:val="Compact"/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 xml:space="preserve">Rol 1: Core Algorítmico ART 1</w:t>
            </w:r>
          </w:p>
        </w:tc>
        <w:tc>
          <w:tcPr>
            <w:tcW w:w="1450" w:type="dxa"/>
            <w:shd w:val="clear" w:color="auto" w:fill="1F3A5F"/>
          </w:tcPr>
          <w:p>
            <w:pPr>
              <w:pStyle w:val="Compact"/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 xml:space="preserve">Rol 2: Pipeline EM &amp; Features</w:t>
            </w:r>
          </w:p>
        </w:tc>
        <w:tc>
          <w:tcPr>
            <w:tcW w:w="1450" w:type="dxa"/>
            <w:shd w:val="clear" w:color="auto" w:fill="1F3A5F"/>
          </w:tcPr>
          <w:p>
            <w:pPr>
              <w:pStyle w:val="Compact"/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 xml:space="preserve">Rol 3: QA, CLI &amp; Datasets</w:t>
            </w:r>
          </w:p>
        </w:tc>
        <w:tc>
          <w:tcPr>
            <w:tcW w:w="1450" w:type="dxa"/>
            <w:shd w:val="clear" w:color="auto" w:fill="1F3A5F"/>
          </w:tcPr>
          <w:p>
            <w:pPr>
              <w:pStyle w:val="Compact"/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 xml:space="preserve">Rol 4: Docs, Manual &amp; PPT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Núcleo Matemático ART 1 (Box 3 Lau)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 / A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Lazo de Resonancia, Reset y Fast Learning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 / A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Análisis de Sensibilidad de Vigilancia (</w:t>
            </w:r>
            <m:oMath>
              <m:r>
                <m:t>ρ</m:t>
              </m:r>
            </m:oMath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Ajuste GMM y Selección K por BIC/AIC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 / A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Derivación de Riesgo por Eigenvectores (</w:t>
            </w:r>
            <m:oMath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 / A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Desagregación, Escala Base 100 y Binarizador 4-bit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CLI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CarGross.py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y Sistema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man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ante Errores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 / A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Curaduría y Formateo CSV de Datasets 1 y 2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Suite de Tests Unitarios (</w:t>
            </w:r>
            <w:r>
              <w:rPr>
                <w:rStyle w:val="VerbatimChar"/>
                <w:bCs/>
                <w:b/>
                <w:sz w:val="18"/>
              </w:rPr>
              <w:t xml:space="preserve">pytest</w:t>
            </w:r>
            <w:r>
              <w:rPr>
                <w:bCs/>
                <w:b/>
                <w:sz w:val="18"/>
              </w:rPr>
              <w:t xml:space="preserve">) y Ex-Post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36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Manual de Referencia (Instalación, Demo, FAQ)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 / A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Informe Final Evaluativo (Carátula UADER/IDTI)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 / A</w:t>
            </w:r>
          </w:p>
        </w:tc>
      </w:tr>
      <w:tr>
        <w:trPr>
          <w:cantSplit/>
        </w:trPr>
        <w:tc>
          <w:tcPr>
            <w:tcW w:w="3612" w:type="dxa"/>
            <w:shd w:val="clear" w:color="auto" w:fill="F3F4F6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Estructura y Guion Técnico para PPT con Audio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I</w:t>
            </w:r>
          </w:p>
        </w:tc>
        <w:tc>
          <w:tcPr>
            <w:tcW w:w="1450" w:type="dxa"/>
            <w:shd w:val="clear" w:color="auto" w:fill="F3F4F6"/>
          </w:tcPr>
          <w:p>
            <w:pPr>
              <w:pStyle w:val="Compact"/>
              <w:spacing w:after="0" w:before="0"/>
              <w:jc w:val="center"/>
            </w:pPr>
            <w:r>
              <w:rPr>
                <w:bCs/>
                <w:b/>
                <w:sz w:val="18"/>
              </w:rPr>
              <w:t xml:space="preserve">R / A</w:t>
            </w:r>
          </w:p>
        </w:tc>
      </w:tr>
    </w:tbl>
    <w:bookmarkEnd w:id="48"/>
    <w:bookmarkEnd w:id="49"/>
    <w:bookmarkStart w:id="54" w:name="backlog-detallado-y-accionable-por-rol"/>
    <w:p>
      <w:pPr>
        <w:pStyle w:val="Heading1"/>
      </w:pPr>
      <w:r>
        <w:t xml:space="preserve">7. BACKLOG DETALLADO Y ACCIONABLE POR ROL</w:t>
      </w:r>
    </w:p>
    <w:bookmarkStart w:id="50" w:name="Xd4628f9217e35dcc50e640f0da1f55dbf4eb5ff"/>
    <w:p>
      <w:pPr>
        <w:pStyle w:val="Heading2"/>
      </w:pPr>
      <w:r>
        <w:t xml:space="preserve">ROL 1: Algoritmo y Núcleo Matemático (Líder Técnico)</w:t>
      </w:r>
    </w:p>
    <w:p>
      <w:pPr>
        <w:pStyle w:val="FirstParagraph"/>
      </w:pPr>
      <w:r>
        <w:rPr>
          <w:iCs/>
          <w:i/>
        </w:rPr>
        <w:t xml:space="preserve">Foco: Motor de inferencia ART 1, estabilidad plástica, dinámica de resonancia y control de degradación.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ISSUE-101 [CORE]: Inicialización y Feedforward de la Red ART 1</w:t>
      </w:r>
    </w:p>
    <w:p>
      <w:pPr>
        <w:pStyle w:val="Compact"/>
        <w:numPr>
          <w:ilvl w:val="1"/>
          <w:numId w:val="1010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Implementar en</w:t>
      </w:r>
      <w:r>
        <w:t xml:space="preserve"> </w:t>
      </w:r>
      <w:r>
        <w:rPr>
          <w:rStyle w:val="VerbatimChar"/>
        </w:rPr>
        <w:t xml:space="preserve">src/art1.py</w:t>
      </w:r>
      <w:r>
        <w:t xml:space="preserve"> </w:t>
      </w:r>
      <w:r>
        <w:t xml:space="preserve">la inicialización estricta de conexiones bottom-up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 </w:t>
      </w:r>
      <w:r>
        <w:t xml:space="preserve">y top-down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junto con el cálculo de activación feedforward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Test unitario que confirme inicialización matricial exacta para dimensiones arbitrarias de bits y respuesta idéntica ante vectores ortogonales.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ISSUE-102 [CORE]: Lazo de Resonancia Adaptativa, Reset y Fast Learning</w:t>
      </w:r>
    </w:p>
    <w:p>
      <w:pPr>
        <w:pStyle w:val="Compact"/>
        <w:numPr>
          <w:ilvl w:val="1"/>
          <w:numId w:val="1011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Programar el test de vigilancia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∥</m:t>
            </m:r>
            <m:sSub>
              <m:e>
                <m:r>
                  <m:t>T</m:t>
                </m:r>
              </m:e>
              <m:sub>
                <m:sSup>
                  <m:e>
                    <m:r>
                      <m:t>j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sub>
            </m:sSub>
            <m:r>
              <m:rPr>
                <m:sty m:val="p"/>
              </m:rPr>
              <m:t>∩</m:t>
            </m:r>
            <m:r>
              <m:t>X</m:t>
            </m:r>
            <m:r>
              <m:rPr>
                <m:sty m:val="p"/>
              </m:rPr>
              <m:t>∥</m:t>
            </m:r>
          </m:num>
          <m:den>
            <m:r>
              <m:rPr>
                <m:sty m:val="p"/>
              </m:rPr>
              <m:t>∥</m:t>
            </m:r>
            <m:r>
              <m:t>X</m:t>
            </m:r>
            <m:r>
              <m:rPr>
                <m:sty m:val="p"/>
              </m:rPr>
              <m:t>∥</m:t>
            </m:r>
          </m:den>
        </m:f>
        <m:r>
          <m:rPr>
            <m:sty m:val="p"/>
          </m:rPr>
          <m:t>&gt;</m:t>
        </m:r>
        <m:r>
          <m:t>ρ</m:t>
        </m:r>
      </m:oMath>
      <w:r>
        <w:t xml:space="preserve">. En caso de fallo, inhibir temporalmente el nodo ganador (</w:t>
      </w:r>
      <m:oMath>
        <m:sSub>
          <m:e>
            <m:r>
              <m:t>μ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) y continuar la competición WTA. En caso de acierto, ejecutar la actualización conjuntiva top-down</w:t>
      </w:r>
      <w:r>
        <w:t xml:space="preserve"> </w:t>
      </w:r>
      <m:oMath>
        <m:sSub>
          <m:e>
            <m:r>
              <m:t>t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b>
          <m:e>
            <m:r>
              <m:t>t</m:t>
            </m:r>
          </m:e>
          <m: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∧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 actualizar la matriz de pesos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Prueba con 10 patrones controlados verificando convergencia en número finito de ciclos y ausencia de loops infinitos.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ISSUE-103 [CORE]: Análisis de Sensibilidad del Hiperparámetro</w:t>
      </w:r>
      <w:r>
        <w:rPr>
          <w:bCs/>
          <w:b/>
        </w:rPr>
        <w:t xml:space="preserve"> </w:t>
      </w:r>
      <m:oMath>
        <m:r>
          <m:t>ρ</m:t>
        </m:r>
      </m:oMath>
    </w:p>
    <w:p>
      <w:pPr>
        <w:pStyle w:val="Compact"/>
        <w:numPr>
          <w:ilvl w:val="1"/>
          <w:numId w:val="1012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Crear la función de barrido paramétrico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0.10</m:t>
            </m:r>
            <m:r>
              <m:rPr>
                <m:sty m:val="p"/>
              </m:rPr>
              <m:t>,</m:t>
            </m:r>
            <m:r>
              <m:t>0.90</m:t>
            </m:r>
          </m:e>
        </m:d>
      </m:oMath>
      <w:r>
        <w:t xml:space="preserve"> </w:t>
      </w:r>
      <w:r>
        <w:t xml:space="preserve">con paso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para medir el número de clústeres resultantes, la tasa de compresión (</w:t>
      </w:r>
      <m:oMath>
        <m:r>
          <m:rPr>
            <m:nor/>
          </m:rPr>
          <m:t>CR</m:t>
        </m:r>
      </m:oMath>
      <w:r>
        <w:t xml:space="preserve">) y la frecuencia de resets (</w:t>
      </w:r>
      <m:oMath>
        <m:r>
          <m:rPr>
            <m:nor/>
          </m:rPr>
          <m:t>RR</m:t>
        </m:r>
      </m:oMath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Generar tabla tabular estructurada exportable a CSV con el análisis de los 17 puntos de evaluación para ambos datasets.</w:t>
      </w:r>
    </w:p>
    <w:bookmarkEnd w:id="50"/>
    <w:bookmarkStart w:id="51" w:name="Xab241a37e08436d83643409da4046c4353d3491"/>
    <w:p>
      <w:pPr>
        <w:pStyle w:val="Heading2"/>
      </w:pPr>
      <w:r>
        <w:t xml:space="preserve">ROL 2: Pipeline EM y Feature Engineering (Lead Data Scientist)</w:t>
      </w:r>
    </w:p>
    <w:p>
      <w:pPr>
        <w:pStyle w:val="FirstParagraph"/>
      </w:pPr>
      <w:r>
        <w:rPr>
          <w:iCs/>
          <w:i/>
        </w:rPr>
        <w:t xml:space="preserve">Foco: Modelado estocástico continuo, descomposición espectral de covarianza y codificación posicional binaria.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ISSUE-201 [EM]: Modelado GMM y Selección de Componentes por BIC/AIC</w:t>
      </w:r>
    </w:p>
    <w:p>
      <w:pPr>
        <w:pStyle w:val="Compact"/>
        <w:numPr>
          <w:ilvl w:val="1"/>
          <w:numId w:val="1014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Programar en</w:t>
      </w:r>
      <w:r>
        <w:t xml:space="preserve"> </w:t>
      </w:r>
      <w:r>
        <w:rPr>
          <w:rStyle w:val="VerbatimChar"/>
        </w:rPr>
        <w:t xml:space="preserve">src/em_clustering.py</w:t>
      </w:r>
      <w:r>
        <w:t xml:space="preserve"> </w:t>
      </w:r>
      <w:r>
        <w:t xml:space="preserve">el ajuste de mezclas gaussianas sobre las variables continuas. Evaluar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registrando BIC, AIC y Log-Likelihood, seleccionando el mínimo BIC.</w:t>
      </w:r>
    </w:p>
    <w:p>
      <w:pPr>
        <w:pStyle w:val="Compact"/>
        <w:numPr>
          <w:ilvl w:val="1"/>
          <w:numId w:val="1014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Gráfico o tabla de curvas de información que justifique analíticamente la cantidad de componentes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elegida.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ISSUE-202 [EM]: Extracción de Gradiente de Riesgo por Eigenvectores (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rPr>
          <w:bCs/>
          <w:b/>
        </w:rPr>
        <w:t xml:space="preserve">)</w:t>
      </w:r>
    </w:p>
    <w:p>
      <w:pPr>
        <w:pStyle w:val="Compact"/>
        <w:numPr>
          <w:ilvl w:val="1"/>
          <w:numId w:val="1015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Implementar la descomposición espectral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t>v</m:t>
        </m:r>
        <m:r>
          <m:rPr>
            <m:sty m:val="p"/>
          </m:rPr>
          <m:t>=</m:t>
        </m:r>
        <m:r>
          <m:t>λ</m:t>
        </m:r>
        <m:r>
          <m:t>v</m:t>
        </m:r>
      </m:oMath>
      <w:r>
        <w:t xml:space="preserve">. Computar el índice de riesgo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 partir de la proyección del centroide sobre el autovector principal y la varianza acumulada, ordenando los grupos en:</w:t>
      </w:r>
      <w:r>
        <w:t xml:space="preserve"> </w:t>
      </w:r>
      <w:r>
        <w:rPr>
          <w:iCs/>
          <w:i/>
        </w:rPr>
        <w:t xml:space="preserve">Promoción</w:t>
      </w:r>
      <w:r>
        <w:t xml:space="preserve">,</w:t>
      </w:r>
      <w:r>
        <w:t xml:space="preserve"> </w:t>
      </w:r>
      <w:r>
        <w:rPr>
          <w:iCs/>
          <w:i/>
        </w:rPr>
        <w:t xml:space="preserve">Aprobado Regular</w:t>
      </w:r>
      <w:r>
        <w:t xml:space="preserve">,</w:t>
      </w:r>
      <w:r>
        <w:t xml:space="preserve"> </w:t>
      </w:r>
      <w:r>
        <w:rPr>
          <w:iCs/>
          <w:i/>
        </w:rPr>
        <w:t xml:space="preserve">Recuperatorio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Riesgo Crítico / Abandono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Salida verificada que etiquete cada instancia con su clase EM y su nivel ordinal de riesgo académico asociado.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ISSUE-203 [FE]: Desagregación, Escalamiento Base 100 y Codificación 4-Bit</w:t>
      </w:r>
    </w:p>
    <w:p>
      <w:pPr>
        <w:pStyle w:val="Compact"/>
        <w:numPr>
          <w:ilvl w:val="1"/>
          <w:numId w:val="1016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Desarrollar en</w:t>
      </w:r>
      <w:r>
        <w:t xml:space="preserve"> </w:t>
      </w:r>
      <w:r>
        <w:rPr>
          <w:rStyle w:val="VerbatimChar"/>
        </w:rPr>
        <w:t xml:space="preserve">src/preprocessor.py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src/encoder.py</w:t>
      </w:r>
      <w:r>
        <w:t xml:space="preserve">:</w:t>
      </w:r>
    </w:p>
    <w:p>
      <w:pPr>
        <w:pStyle w:val="Compact"/>
        <w:numPr>
          <w:ilvl w:val="2"/>
          <w:numId w:val="1017"/>
        </w:numPr>
      </w:pPr>
      <w:r>
        <w:t xml:space="preserve">Desagregación de la columna de tareas en variables independientes (</w:t>
      </w:r>
      <w:r>
        <w:rPr>
          <w:rStyle w:val="VerbatimChar"/>
        </w:rPr>
        <w:t xml:space="preserve">task_tp1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task_tp2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task_taller</w:t>
      </w:r>
      <w:r>
        <w:t xml:space="preserve">).</w:t>
      </w:r>
    </w:p>
    <w:p>
      <w:pPr>
        <w:pStyle w:val="Compact"/>
        <w:numPr>
          <w:ilvl w:val="2"/>
          <w:numId w:val="1017"/>
        </w:numPr>
      </w:pPr>
      <w:r>
        <w:t xml:space="preserve">Escalamiento a base 100 con la fórmula de cátedra, casteando estrictamente a enteros nativos (</w:t>
      </w:r>
      <w:r>
        <w:rPr>
          <w:rStyle w:val="VerbatimChar"/>
        </w:rPr>
        <w:t xml:space="preserve">int</w:t>
      </w:r>
      <w:r>
        <w:t xml:space="preserve">, 0 decimales).</w:t>
      </w:r>
    </w:p>
    <w:p>
      <w:pPr>
        <w:pStyle w:val="Compact"/>
        <w:numPr>
          <w:ilvl w:val="2"/>
          <w:numId w:val="1017"/>
        </w:numPr>
      </w:pPr>
      <w:r>
        <w:t xml:space="preserve">Discretización en histograma de 10 bins (0 a 10) y conversión a cadenas de 4 bits posicionales (</w:t>
      </w:r>
      <m:oMath>
        <m:r>
          <m:t>0000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1010</m:t>
        </m:r>
      </m:oMath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Matriz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4</m:t>
            </m:r>
            <m:r>
              <m:t>D</m:t>
            </m:r>
          </m:sup>
        </m:sSup>
      </m:oMath>
      <w:r>
        <w:t xml:space="preserve"> </w:t>
      </w:r>
      <w:r>
        <w:t xml:space="preserve">validada formalmente (</w:t>
      </w:r>
      <w:r>
        <w:rPr>
          <w:rStyle w:val="VerbatimChar"/>
        </w:rPr>
        <w:t xml:space="preserve">assert set(np.unique(X)).issubset({0, 1})</w:t>
      </w:r>
      <w:r>
        <w:t xml:space="preserve">).</w:t>
      </w:r>
    </w:p>
    <w:bookmarkEnd w:id="51"/>
    <w:bookmarkStart w:id="52" w:name="X7cde6432208f5cd3e12300ac5d281b6917e6ff0"/>
    <w:p>
      <w:pPr>
        <w:pStyle w:val="Heading2"/>
      </w:pPr>
      <w:r>
        <w:t xml:space="preserve">ROL 3: QA, CLI y Datasets (Software Engineer &amp; QA)</w:t>
      </w:r>
    </w:p>
    <w:p>
      <w:pPr>
        <w:pStyle w:val="FirstParagraph"/>
      </w:pPr>
      <w:r>
        <w:rPr>
          <w:iCs/>
          <w:i/>
        </w:rPr>
        <w:t xml:space="preserve">Foco: Entrypoint de consola, resiliencia ante errores, curaduría de datasets y validación ex-post.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ISSUE-301 [CLI]: Entrypoint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CarGross.py</w:t>
      </w:r>
      <w:r>
        <w:rPr>
          <w:bCs/>
          <w:b/>
        </w:rPr>
        <w:t xml:space="preserve"> </w:t>
      </w:r>
      <w:r>
        <w:rPr>
          <w:bCs/>
          <w:b/>
        </w:rPr>
        <w:t xml:space="preserve">con Sistema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man</w:t>
      </w:r>
      <w:r>
        <w:rPr>
          <w:bCs/>
          <w:b/>
        </w:rPr>
        <w:t xml:space="preserve"> </w:t>
      </w:r>
      <w:r>
        <w:rPr>
          <w:bCs/>
          <w:b/>
        </w:rPr>
        <w:t xml:space="preserve">Integrado</w:t>
      </w:r>
    </w:p>
    <w:p>
      <w:pPr>
        <w:pStyle w:val="Compact"/>
        <w:numPr>
          <w:ilvl w:val="1"/>
          <w:numId w:val="1019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Construir el parser CLI con flags</w:t>
      </w:r>
      <w:r>
        <w:t xml:space="preserve"> </w:t>
      </w:r>
      <w:r>
        <w:rPr>
          <w:rStyle w:val="VerbatimChar"/>
        </w:rPr>
        <w:t xml:space="preserve">--dataset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--metadata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--rho</w:t>
      </w:r>
      <w:r>
        <w:t xml:space="preserve">,</w:t>
      </w:r>
      <w:r>
        <w:t xml:space="preserve"> </w:t>
      </w:r>
      <w:r>
        <w:rPr>
          <w:rStyle w:val="VerbatimChar"/>
        </w:rPr>
        <w:t xml:space="preserve">--mode {train, eval, sweep, demo}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--man</w:t>
      </w:r>
      <w:r>
        <w:t xml:space="preserve">. Interceptar excepciones y disparar el manual interactivo</w:t>
      </w:r>
      <w:r>
        <w:t xml:space="preserve"> </w:t>
      </w:r>
      <w:r>
        <w:rPr>
          <w:rStyle w:val="VerbatimChar"/>
        </w:rPr>
        <w:t xml:space="preserve">src/man_pages.py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Invocación errónea (ej.</w:t>
      </w:r>
      <w:r>
        <w:t xml:space="preserve"> </w:t>
      </w:r>
      <w:r>
        <w:rPr>
          <w:rStyle w:val="VerbatimChar"/>
        </w:rPr>
        <w:t xml:space="preserve">python CarGross.py</w:t>
      </w:r>
      <w:r>
        <w:t xml:space="preserve"> </w:t>
      </w:r>
      <w:r>
        <w:t xml:space="preserve">sin argumentos) despliega el manual completo y finaliza con código de salida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sin emitir trazas de error de Python en consola.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ISSUE-302 [DATA]: Curaduría y Formateo CSV de Datasets 1 y 2</w:t>
      </w:r>
    </w:p>
    <w:p>
      <w:pPr>
        <w:pStyle w:val="Compact"/>
        <w:numPr>
          <w:ilvl w:val="1"/>
          <w:numId w:val="1020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Limpiar y formatear</w:t>
      </w:r>
      <w:r>
        <w:t xml:space="preserve"> </w:t>
      </w:r>
      <w:r>
        <w:rPr>
          <w:rStyle w:val="VerbatimChar"/>
        </w:rPr>
        <w:t xml:space="preserve">student_performance.csv</w:t>
      </w:r>
      <w:r>
        <w:t xml:space="preserve"> </w:t>
      </w:r>
      <w:r>
        <w:t xml:space="preserve">(Kaggle) y el segundo dataset de benchmark (</w:t>
      </w:r>
      <m:oMath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filas,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columnas). Verificar la regla de coherencia horaria (</w:t>
      </w:r>
      <m:oMath>
        <m:r>
          <m:rPr>
            <m:sty m:val="p"/>
          </m:rPr>
          <m:t>≤</m:t>
        </m:r>
        <m:r>
          <m:t>24</m:t>
        </m:r>
      </m:oMath>
      <w:r>
        <w:t xml:space="preserve"> </w:t>
      </w:r>
      <w:r>
        <w:t xml:space="preserve">hs). Generar sus archivos satélite</w:t>
      </w:r>
      <w:r>
        <w:t xml:space="preserve"> </w:t>
      </w:r>
      <w:r>
        <w:rPr>
          <w:rStyle w:val="VerbatimChar"/>
        </w:rPr>
        <w:t xml:space="preserve">metadata.csv</w:t>
      </w:r>
      <w:r>
        <w:t xml:space="preserve"> </w:t>
      </w:r>
      <w:r>
        <w:t xml:space="preserve">en formato CSV puro.</w:t>
      </w:r>
    </w:p>
    <w:p>
      <w:pPr>
        <w:pStyle w:val="Compact"/>
        <w:numPr>
          <w:ilvl w:val="1"/>
          <w:numId w:val="1020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Archivos CSV almacenados en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data/metadata/</w:t>
      </w:r>
      <w:r>
        <w:t xml:space="preserve"> </w:t>
      </w:r>
      <w:r>
        <w:t xml:space="preserve">listos para ser consumidos por el sistema.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ISSUE-303 [QA]: Batería Pytest y Validación Ex-Post Cruzada</w:t>
      </w:r>
    </w:p>
    <w:p>
      <w:pPr>
        <w:pStyle w:val="Compact"/>
        <w:numPr>
          <w:ilvl w:val="1"/>
          <w:numId w:val="1021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Implementar la suite de pruebas unitarias en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y programar en</w:t>
      </w:r>
      <w:r>
        <w:t xml:space="preserve"> </w:t>
      </w:r>
      <w:r>
        <w:rPr>
          <w:rStyle w:val="VerbatimChar"/>
        </w:rPr>
        <w:t xml:space="preserve">src/metrics.py</w:t>
      </w:r>
      <w:r>
        <w:t xml:space="preserve"> </w:t>
      </w:r>
      <w:r>
        <w:t xml:space="preserve">la matriz de validación ex-post que cruce los clústeres descubiertos por ART 1 contra los niveles ordinales de riesgo EM y la nota real (</w:t>
      </w:r>
      <w:r>
        <w:rPr>
          <w:rStyle w:val="VerbatimChar"/>
        </w:rPr>
        <w:t xml:space="preserve">Exam Score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Cobertura de pruebas</w:t>
      </w:r>
      <w:r>
        <w:t xml:space="preserve"> </w:t>
      </w:r>
      <m:oMath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con 100% de éxito y comprobación de pureza global de clúster</w:t>
      </w:r>
      <w:r>
        <w:t xml:space="preserve"> 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t xml:space="preserve">.</w:t>
      </w:r>
    </w:p>
    <w:bookmarkEnd w:id="52"/>
    <w:bookmarkStart w:id="53" w:name="Xa342a115fc865b19b7ace4fc83848223d4ad3f5"/>
    <w:p>
      <w:pPr>
        <w:pStyle w:val="Heading2"/>
      </w:pPr>
      <w:r>
        <w:t xml:space="preserve">ROL 4: Documentación Técnica y Presentación (DevRel &amp; Technical Writer)</w:t>
      </w:r>
    </w:p>
    <w:p>
      <w:pPr>
        <w:pStyle w:val="FirstParagraph"/>
      </w:pPr>
      <w:r>
        <w:rPr>
          <w:iCs/>
          <w:i/>
        </w:rPr>
        <w:t xml:space="preserve">Foco: Formalismo académico institucional, manual de operación y narrativa audiovisual.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ISSUE-401 [DOCS]: Manual de Referencia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CarGross</w:t>
      </w:r>
      <w:r>
        <w:rPr>
          <w:bCs/>
          <w:b/>
        </w:rPr>
        <w:t xml:space="preserve"> </w:t>
      </w:r>
      <w:r>
        <w:rPr>
          <w:bCs/>
          <w:b/>
        </w:rPr>
        <w:t xml:space="preserve">(Norma Cátedra)</w:t>
      </w:r>
    </w:p>
    <w:p>
      <w:pPr>
        <w:pStyle w:val="Compact"/>
        <w:numPr>
          <w:ilvl w:val="1"/>
          <w:numId w:val="1023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Redactar</w:t>
      </w:r>
      <w:r>
        <w:t xml:space="preserve"> </w:t>
      </w:r>
      <w:r>
        <w:rPr>
          <w:rStyle w:val="VerbatimChar"/>
        </w:rPr>
        <w:t xml:space="preserve">docs/manual_de_referencia.md</w:t>
      </w:r>
      <w:r>
        <w:t xml:space="preserve"> </w:t>
      </w:r>
      <w:r>
        <w:t xml:space="preserve">incluyendo: alcances, limitaciones (erosión conjuntiva por AND, supuestos gaussianos en EM), guía paso a paso de instalación en entorno virtual, modo de ejecución del test demo rápido, FAQ con 3+ preguntas analíticas de fondo y sección final titulada strictly</w:t>
      </w:r>
      <w:r>
        <w:t xml:space="preserve"> </w:t>
      </w:r>
      <w:r>
        <w:rPr>
          <w:rStyle w:val="VerbatimChar"/>
        </w:rPr>
        <w:t xml:space="preserve">REFERENCIAS</w:t>
      </w:r>
      <w:r>
        <w:t xml:space="preserve"> </w:t>
      </w:r>
      <w:r>
        <w:t xml:space="preserve">citando a Clifford Lau (1992).</w:t>
      </w:r>
    </w:p>
    <w:p>
      <w:pPr>
        <w:pStyle w:val="Compact"/>
        <w:numPr>
          <w:ilvl w:val="1"/>
          <w:numId w:val="1023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Documento exhaustivo en Markdown, compatible con exportación a PDF, cumpliendo todos los ítems de las directivas de cátedra.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ISSUE-402 [DOCS]: Informe Final Evaluativo con Carátula UADER/IDTI Lab</w:t>
      </w:r>
    </w:p>
    <w:p>
      <w:pPr>
        <w:pStyle w:val="Compact"/>
        <w:numPr>
          <w:ilvl w:val="1"/>
          <w:numId w:val="1024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Redactar</w:t>
      </w:r>
      <w:r>
        <w:t xml:space="preserve"> </w:t>
      </w:r>
      <w:r>
        <w:rPr>
          <w:rStyle w:val="VerbatimChar"/>
        </w:rPr>
        <w:t xml:space="preserve">docs/informe_evaluativo.md</w:t>
      </w:r>
      <w:r>
        <w:t xml:space="preserve"> </w:t>
      </w:r>
      <w:r>
        <w:t xml:space="preserve">con carátula formal institucional (logos de UADER y del IDTI Lab, nombres de integrantes, materia, docente, fecha), tablas de resultados comparativos en ambos datasets, curvas de sensibilidad de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y justificación epistemológica del modelo.</w:t>
      </w:r>
    </w:p>
    <w:p>
      <w:pPr>
        <w:pStyle w:val="Compact"/>
        <w:numPr>
          <w:ilvl w:val="1"/>
          <w:numId w:val="1024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Informe académico completo listo para evaluación de promoción.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ISSUE-403 [DOCS]: Estructura de Slides y Guion Técnico para PPT con Audio</w:t>
      </w:r>
    </w:p>
    <w:p>
      <w:pPr>
        <w:pStyle w:val="Compact"/>
        <w:numPr>
          <w:ilvl w:val="1"/>
          <w:numId w:val="1025"/>
        </w:numPr>
      </w:pPr>
      <w:r>
        <w:rPr>
          <w:iCs/>
          <w:i/>
        </w:rPr>
        <w:t xml:space="preserve">Descripción:</w:t>
      </w:r>
      <w:r>
        <w:t xml:space="preserve"> </w:t>
      </w:r>
      <w:r>
        <w:t xml:space="preserve">Diseñar en</w:t>
      </w:r>
      <w:r>
        <w:t xml:space="preserve"> </w:t>
      </w:r>
      <w:r>
        <w:rPr>
          <w:rStyle w:val="VerbatimChar"/>
        </w:rPr>
        <w:t xml:space="preserve">docs/guion_presentacion_ppt.md</w:t>
      </w:r>
      <w:r>
        <w:t xml:space="preserve"> </w:t>
      </w:r>
      <w:r>
        <w:t xml:space="preserve">la estructura visual y el texto narrativo locutado para la presentación oral. Justificar el origen en la neurobiología de Grossberg, el dilema estabilidad-plasticidad, la necesidad de EM para variables continuas, la dinámica de resonancia adaptativa y el análisis comparativo exhaustivo contra redes Hopfield, Kohonen SOM y Perceptrón Multicapa.</w:t>
      </w:r>
    </w:p>
    <w:p>
      <w:pPr>
        <w:pStyle w:val="Compact"/>
        <w:numPr>
          <w:ilvl w:val="1"/>
          <w:numId w:val="1025"/>
        </w:numPr>
      </w:pPr>
      <w:r>
        <w:rPr>
          <w:iCs/>
          <w:i/>
        </w:rPr>
        <w:t xml:space="preserve">Criterio de Aceptación (DoD):</w:t>
      </w:r>
      <w:r>
        <w:t xml:space="preserve"> </w:t>
      </w:r>
      <w:r>
        <w:t xml:space="preserve">Guion didáctico y riguroso con marcas de tiempo estimadas para una duración de 10 a 12 minutos de exposición.</w:t>
      </w:r>
    </w:p>
    <w:bookmarkEnd w:id="53"/>
    <w:bookmarkEnd w:id="54"/>
    <w:bookmarkStart w:id="55" w:name="Xfa77e993766df75d335c89673bbd5a03e80926f"/>
    <w:p>
      <w:pPr>
        <w:pStyle w:val="Heading1"/>
      </w:pPr>
      <w:r>
        <w:t xml:space="preserve">8. PLAN DE VERIFICACIÓN Y CRITERIOS</w:t>
      </w:r>
      <w:r>
        <w:t xml:space="preserve"> </w:t>
      </w:r>
      <w:r>
        <w:t xml:space="preserve">“</w:t>
      </w:r>
      <w:r>
        <w:t xml:space="preserve">CERO DEFECTOS</w:t>
      </w:r>
      <w:r>
        <w:t xml:space="preserve">”</w:t>
      </w:r>
      <w:r>
        <w:t xml:space="preserve"> </w:t>
      </w:r>
      <w:r>
        <w:t xml:space="preserve">(OPCIÓN PROMOCIÓN)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Prueba de Instalación Limpia en Entorno Aislado: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venv_promocion</w:t>
      </w:r>
      <w:r>
        <w:br/>
      </w:r>
      <w:r>
        <w:rPr>
          <w:rStyle w:val="ExtensionTok"/>
        </w:rPr>
        <w:t xml:space="preserve">venv_promocion\Scripts\activate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En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CarGross.py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demo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Criterio de Éxito:</w:t>
      </w:r>
      <w:r>
        <w:t xml:space="preserve"> </w:t>
      </w:r>
      <w:r>
        <w:t xml:space="preserve">Ejecución completa en menos de 5 segundos, presentando en pantalla las métricas de EM (BIC/AIC), la asignación de categorías ART 1 y la tabla de validación ex-post sin advertencias de deprecación ni errores.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Prueba de Resiliencia de la CLI y Paginador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man</w:t>
      </w:r>
      <w:r>
        <w:rPr>
          <w:bCs/>
          <w:b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CarGross.py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CarGross.py </w:t>
      </w:r>
      <w:r>
        <w:rPr>
          <w:rStyle w:val="AttributeTok"/>
        </w:rPr>
        <w:t xml:space="preserve">--rho</w:t>
      </w:r>
      <w:r>
        <w:rPr>
          <w:rStyle w:val="NormalTok"/>
        </w:rPr>
        <w:t xml:space="preserve"> 1.5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CarGross.py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archivo_inexistente.csv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CarGross.py </w:t>
      </w:r>
      <w:r>
        <w:rPr>
          <w:rStyle w:val="AttributeTok"/>
        </w:rPr>
        <w:t xml:space="preserve">--man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Criterio de Éxito:</w:t>
      </w:r>
      <w:r>
        <w:t xml:space="preserve"> </w:t>
      </w:r>
      <w:r>
        <w:t xml:space="preserve">En ningún caso debe desplegarse un traceback crudo de Python (</w:t>
      </w:r>
      <w:r>
        <w:rPr>
          <w:rStyle w:val="VerbatimChar"/>
        </w:rPr>
        <w:t xml:space="preserve">Traceback (most recent call last)...</w:t>
      </w:r>
      <w:r>
        <w:t xml:space="preserve">). El sistema debe interceptar la excepción, reportar el código de fallo e imprimir el manual interactivo formateado.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Prueba de Validación Cruzada Ex-Post en Ambos Datasets: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CarGross.py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data/raw/student_performance.csv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data/metadata/student_metadata.csv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eval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CarGross.py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data/raw/benchmark_features.csv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data/metadata/benchmark_metadata.csv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eval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Criterio de Éxito:</w:t>
      </w:r>
      <w:r>
        <w:t xml:space="preserve"> </w:t>
      </w:r>
      <w:r>
        <w:t xml:space="preserve">Ambos conjuntos deben generar la matriz de confusión ex-post, reportando una pureza promedio de clúster</w:t>
      </w:r>
      <w:r>
        <w:t xml:space="preserve"> 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t xml:space="preserve">, varianza de calificaciones reducida y una tasa de compresión</w:t>
      </w:r>
      <w:r>
        <w:t xml:space="preserve"> </w:t>
      </w:r>
      <m:oMath>
        <m:r>
          <m:rPr>
            <m:nor/>
          </m:rPr>
          <m:t>CR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0.20</m:t>
            </m:r>
          </m:e>
        </m:d>
      </m:oMath>
      <w:r>
        <w:t xml:space="preserve">.</w:t>
      </w:r>
    </w:p>
    <w:bookmarkEnd w:id="55"/>
    <w:sectPr>
      <w:headerReference r:id="rId9" w:type="default"/>
      <w:footerReference r:id="rId10" w:type="default"/>
      <w:pgSz w:h="16838" w:w="11906"/>
      <w:pgMar w:bottom="1191" w:footer="567" w:header="624" w:left="1247" w:right="1247" w:top="130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B5563"/>
        <w:sz w:val="17"/>
      </w:rPr>
      <w:t xml:space="preserve">UADER · FCyT · IDTI Lab — Redes Neuronales  |  Página </w:t>
    </w:r>
    <w:r>
      <w:rPr>
        <w:color w:val="4B556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9CA3AF"/>
      </w:pBdr>
      <w:jc w:val="left"/>
    </w:pPr>
    <w:r/>
    <w:r>
      <w:rPr>
        <w:rFonts w:ascii="Calibri" w:hAnsi="Calibri"/>
        <w:color w:val="4B5563"/>
        <w:sz w:val="17"/>
      </w:rPr>
      <w:t>Arquitectura, Especificación Técnica y Plan de Ejecución · EM/GMM + ART 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9" w:lineRule="auto"/>
    </w:pPr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69" w:lineRule="auto"/>
      <w:jc w:val="both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69" w:lineRule="auto"/>
      <w:jc w:val="both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50" w:before="0" w:line="264" w:lineRule="auto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1F3A5F" w:space="4" w:sz="10" w:val="single"/>
      </w:pBdr>
      <w:spacing w:after="160" w:before="320" w:line="240" w:lineRule="auto"/>
      <w:outlineLvl w:val="0"/>
    </w:pPr>
    <w:rPr>
      <w:rFonts w:ascii="Calibri" w:cs="Calibri" w:eastAsia="Calibri" w:hAnsi="Calibri"/>
      <w:b/>
      <w:bCs/>
      <w:i w:val="0"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 w:line="240" w:lineRule="auto"/>
      <w:outlineLvl w:val="1"/>
    </w:pPr>
    <w:rPr>
      <w:rFonts w:ascii="Calibri" w:cs="Calibri" w:eastAsia="Calibri" w:hAnsi="Calibri"/>
      <w:b/>
      <w:bCs/>
      <w:i w:val="0"/>
      <w:color w:val="0F766E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 w:line="240" w:lineRule="auto"/>
      <w:outlineLvl w:val="2"/>
    </w:pPr>
    <w:rPr>
      <w:rFonts w:ascii="Calibri" w:cs="Calibri" w:eastAsia="Calibri" w:hAnsi="Calibri"/>
      <w:b/>
      <w:bCs/>
      <w:i w:val="0"/>
      <w:color w:val="1F3A5F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20" w:line="240" w:lineRule="auto"/>
      <w:outlineLvl w:val="3"/>
    </w:pPr>
    <w:rPr>
      <w:rFonts w:ascii="Calibri" w:cs="Calibri" w:eastAsia="Calibri" w:hAnsi="Calibri"/>
      <w:i/>
      <w:b/>
      <w:bCs/>
      <w:color w:val="4B5563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i/>
      <w:color w:val="4B5563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40" w:line="240" w:lineRule="auto"/>
      <w:jc w:val="center"/>
    </w:pPr>
    <w:rPr>
      <w:rFonts w:ascii="Calibri" w:cs="Calibri" w:eastAsia="Calibri" w:hAnsi="Calibri"/>
      <w:i/>
      <w:color w:val="4B5563"/>
      <w:sz w:val="19"/>
    </w:rPr>
  </w:style>
  <w:style w:customStyle="1" w:styleId="TableCaption" w:type="paragraph">
    <w:name w:val="Table Caption"/>
    <w:basedOn w:val="Caption"/>
    <w:pPr>
      <w:keepNext/>
      <w:spacing w:after="200" w:before="40" w:line="240" w:lineRule="auto"/>
      <w:jc w:val="center"/>
    </w:pPr>
    <w:rPr>
      <w:rFonts w:ascii="Calibri" w:cs="Calibri" w:eastAsia="Calibri" w:hAnsi="Calibri"/>
      <w:i/>
      <w:color w:val="4B5563"/>
      <w:sz w:val="19"/>
    </w:rPr>
  </w:style>
  <w:style w:customStyle="1" w:styleId="ImageCaption" w:type="paragraph">
    <w:name w:val="Image Caption"/>
    <w:basedOn w:val="Caption"/>
    <w:pPr>
      <w:spacing w:after="200" w:before="40" w:line="240" w:lineRule="auto"/>
      <w:jc w:val="center"/>
    </w:pPr>
    <w:rPr>
      <w:rFonts w:ascii="Calibri" w:cs="Calibri" w:eastAsia="Calibri" w:hAnsi="Calibri"/>
      <w:i/>
      <w:color w:val="4B5563"/>
      <w:sz w:val="19"/>
    </w:rPr>
  </w:style>
  <w:style w:customStyle="1" w:styleId="Figure" w:type="paragraph">
    <w:name w:val="Figure"/>
    <w:basedOn w:val="Normal"/>
    <w:pPr>
      <w:spacing w:after="40" w:before="120" w:line="240" w:lineRule="auto"/>
      <w:jc w:val="center"/>
    </w:pPr>
  </w:style>
  <w:style w:customStyle="1" w:styleId="CaptionedFigure" w:type="paragraph">
    <w:name w:val="Captioned Figure"/>
    <w:basedOn w:val="Figure"/>
    <w:pPr>
      <w:keepNext/>
      <w:spacing w:after="40" w:before="120" w:line="240" w:lineRule="auto"/>
      <w:jc w:val="center"/>
    </w:pPr>
    <w:rPr>
      <w:rFonts w:ascii="Calibri" w:cs="Calibri" w:eastAsia="Calibri" w:hAnsi="Calibri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pBdr>
        <w:left w:color="0F766E" w:space="6" w:sz="18" w:val="single"/>
      </w:pBdr>
      <w:shd w:color="auto" w:fill="F3F4F6" w:val="clear"/>
      <w:spacing w:after="120" w:before="40" w:line="240" w:lineRule="auto"/>
      <w:jc w:val="left"/>
    </w:pPr>
    <w:rPr>
      <w:rFonts w:ascii="Consolas" w:cs="Consolas" w:eastAsia="Consolas" w:hAnsi="Consolas"/>
      <w:sz w:val="15"/>
    </w:rPr>
  </w:style>
  <w:style w:customStyle="1" w:styleId="PortadaInstitucion" w:type="paragraph">
    <w:name w:val="Portada Institucion"/>
    <w:basedOn w:val="Normal"/>
    <w:pPr>
      <w:spacing w:after="40" w:before="0" w:line="240" w:lineRule="auto"/>
      <w:jc w:val="center"/>
    </w:pPr>
    <w:rPr>
      <w:rFonts w:ascii="Calibri" w:cs="Calibri" w:eastAsia="Calibri" w:hAnsi="Calibri"/>
      <w:b/>
      <w:color w:val="1F3A5F"/>
      <w:sz w:val="24"/>
    </w:rPr>
  </w:style>
  <w:style w:customStyle="1" w:styleId="PortadaTitulo" w:type="paragraph">
    <w:name w:val="Portada Titulo"/>
    <w:basedOn w:val="Normal"/>
    <w:pPr>
      <w:pBdr>
        <w:top w:color="0F766E" w:space="14" w:sz="18" w:val="single"/>
        <w:bottom w:color="0F766E" w:space="14" w:sz="18" w:val="single"/>
      </w:pBdr>
      <w:spacing w:after="200" w:before="1200" w:line="252" w:lineRule="auto"/>
      <w:jc w:val="center"/>
    </w:pPr>
    <w:rPr>
      <w:rFonts w:ascii="Calibri" w:cs="Calibri" w:eastAsia="Calibri" w:hAnsi="Calibri"/>
      <w:b/>
      <w:color w:val="1F3A5F"/>
      <w:sz w:val="48"/>
    </w:rPr>
  </w:style>
  <w:style w:customStyle="1" w:styleId="PortadaSubtitulo" w:type="paragraph">
    <w:name w:val="Portada Subtitulo"/>
    <w:basedOn w:val="Normal"/>
    <w:pPr>
      <w:spacing w:after="800" w:before="520" w:line="276" w:lineRule="auto"/>
      <w:jc w:val="center"/>
    </w:pPr>
    <w:rPr>
      <w:rFonts w:ascii="Calibri" w:cs="Calibri" w:eastAsia="Calibri" w:hAnsi="Calibri"/>
      <w:color w:val="0F766E"/>
      <w:sz w:val="28"/>
    </w:rPr>
  </w:style>
  <w:style w:customStyle="1" w:styleId="PortadaMeta" w:type="paragraph">
    <w:name w:val="Portada Meta"/>
    <w:basedOn w:val="Normal"/>
    <w:pPr>
      <w:spacing w:after="180" w:before="0" w:line="276" w:lineRule="auto"/>
      <w:ind w:left="850" w:right="850"/>
      <w:jc w:val="left"/>
    </w:pPr>
    <w:rPr>
      <w:rFonts w:ascii="Calibri" w:cs="Calibri" w:eastAsia="Calibri" w:hAnsi="Calibri"/>
      <w:color w:val="1F2937"/>
      <w:sz w:val="23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image" Target="media/rId21.png"/><Relationship Id="rId45" Type="http://schemas.openxmlformats.org/officeDocument/2006/relationships/image" Target="media/rId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2026-10-10T18:32:40Z</dcterms:created>
  <dcterms:modified xsi:type="dcterms:W3CDTF">2026-10-10T18:32:40Z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