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103</w:t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Caimanes aguja: del conflicto a la coexistencia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Autores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Sergio A. Balaguera-Reina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Destacado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Tras años de declive, la recuperación de las poblaciones de caimanes aguja en el Caribe colombiano invita a repensar la relación de esta especie con las comunidades locales y los esfuerzos de conservación en la región.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Cuerpo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215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Históricamente, los caimanes aguja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Crocodylus acutus</w:t>
      </w:r>
      <w:r w:rsidDel="00000000" w:rsidR="00000000" w:rsidRPr="00000000">
        <w:rPr>
          <w:rFonts w:ascii="Arial" w:cs="Arial" w:eastAsia="Arial" w:hAnsi="Arial"/>
          <w:rtl w:val="0"/>
        </w:rPr>
        <w:t xml:space="preserve">) han habitado el Caribe colombiano desde la península de La Guajira hasta el golfo del Darién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. En esta región, han desempeñado no solo importantes roles ecosistémicos, como la regulación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poblaciones </w:t>
      </w:r>
      <w:r w:rsidDel="00000000" w:rsidR="00000000" w:rsidRPr="00000000">
        <w:rPr>
          <w:rFonts w:ascii="Arial" w:cs="Arial" w:eastAsia="Arial" w:hAnsi="Arial"/>
          <w:rtl w:val="0"/>
        </w:rPr>
        <w:t xml:space="preserve">de invertebrados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Cardisoma guanhumi</w:t>
      </w:r>
      <w:r w:rsidDel="00000000" w:rsidR="00000000" w:rsidRPr="00000000">
        <w:rPr>
          <w:rFonts w:ascii="Arial" w:cs="Arial" w:eastAsia="Arial" w:hAnsi="Arial"/>
          <w:rtl w:val="0"/>
        </w:rPr>
        <w:t xml:space="preserve">), peces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Cathorops spixii</w:t>
      </w:r>
      <w:r w:rsidDel="00000000" w:rsidR="00000000" w:rsidRPr="00000000">
        <w:rPr>
          <w:rFonts w:ascii="Arial" w:cs="Arial" w:eastAsia="Arial" w:hAnsi="Arial"/>
          <w:rtl w:val="0"/>
        </w:rPr>
        <w:t xml:space="preserve">), aves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Phoenicopterus ruber</w:t>
      </w:r>
      <w:r w:rsidDel="00000000" w:rsidR="00000000" w:rsidRPr="00000000">
        <w:rPr>
          <w:rFonts w:ascii="Arial" w:cs="Arial" w:eastAsia="Arial" w:hAnsi="Arial"/>
          <w:rtl w:val="0"/>
        </w:rPr>
        <w:t xml:space="preserve">), mamíferos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Didelphis marsupialis</w:t>
      </w:r>
      <w:r w:rsidDel="00000000" w:rsidR="00000000" w:rsidRPr="00000000">
        <w:rPr>
          <w:rFonts w:ascii="Arial" w:cs="Arial" w:eastAsia="Arial" w:hAnsi="Arial"/>
          <w:rtl w:val="0"/>
        </w:rPr>
        <w:t xml:space="preserve">) y otros reptiles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Iguana iguana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, sino también culturales, como evidencia su incorporación en distintas cosmogonías indígenas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D">
      <w:pPr>
        <w:tabs>
          <w:tab w:val="left" w:leader="none" w:pos="0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transformación </w:t>
      </w:r>
      <w:r w:rsidDel="00000000" w:rsidR="00000000" w:rsidRPr="00000000">
        <w:rPr>
          <w:rFonts w:ascii="Arial" w:cs="Arial" w:eastAsia="Arial" w:hAnsi="Arial"/>
          <w:rtl w:val="0"/>
        </w:rPr>
        <w:t xml:space="preserve">del paisaje para sostener el crecimiento de las poblaciones humanas ha producido un aumento de los encuentros entre personas y caimanes. Esta cercanía ha derivado en un incremento de conflictos con la especie, así como en prácticas como la caza por miedo, la caza deportiva y el comercio de pieles. En consecuencia, muchas poblaciones de caimanes han sido reducidas, fragmentadas e incluso colapsadas, hasta el punto de que su uso fue prohibido en el país debido al riesgo crítico de extinción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E">
      <w:pPr>
        <w:tabs>
          <w:tab w:val="left" w:leader="none" w:pos="0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 partir de los años sesenta, se generaron herramientas legislativas para limitar su uso silvestre y promover su manejo en cautiverio. En este contexto,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zoocría</w:t>
      </w:r>
      <w:r w:rsidDel="00000000" w:rsidR="00000000" w:rsidRPr="00000000">
        <w:rPr>
          <w:rFonts w:ascii="Arial" w:cs="Arial" w:eastAsia="Arial" w:hAnsi="Arial"/>
          <w:rtl w:val="0"/>
        </w:rPr>
        <w:t xml:space="preserve"> se proyectó como una alternativa para salvaguardar las poblaciones, producir individuos que pudieran ser reintroducidos al medio natural y acelerar su recuperación. Aunque estos esfuerzos enfrentaron ciertas limitaciones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rtl w:val="0"/>
        </w:rPr>
        <w:t xml:space="preserve">, las poblaciones de caimanes aguja han aumentado durante las últimas cuatro décadas. Esto permitió que su estado de conservación a escala nacional pasara de Peligro Crítico (CR)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rtl w:val="0"/>
        </w:rPr>
        <w:t xml:space="preserve"> a Vulnerable (VU)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rtl w:val="0"/>
        </w:rPr>
        <w:t xml:space="preserve">, aunque también conllevó un incremento en los reportes de conflictos con comunidades locales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F">
      <w:pPr>
        <w:tabs>
          <w:tab w:val="left" w:leader="none" w:pos="0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Las iniciativas comunitarias han demostrado ser estrategias efectivas para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conservación </w:t>
      </w:r>
      <w:r w:rsidDel="00000000" w:rsidR="00000000" w:rsidRPr="00000000">
        <w:rPr>
          <w:rFonts w:ascii="Arial" w:cs="Arial" w:eastAsia="Arial" w:hAnsi="Arial"/>
          <w:rtl w:val="0"/>
        </w:rPr>
        <w:t xml:space="preserve">de la especie. Tal es el caso de la Bahía de Cispatá (Córdoba), donde la recuperación de las poblaciones de caimanes se asoció al trabajo de los pobladores locales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rtl w:val="0"/>
        </w:rPr>
        <w:t xml:space="preserve">. Gracias a esta labor, la especie fue reclasificada de Apéndice I a Apéndice II en la 16° Conferencia de las Partes de la Convención sobre el comercio internacional de Especies Amenazadas de Fauna y Flora Silvestre (CITES), lo que permitió a las comunidades hacer 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uso sostenible</w:t>
      </w:r>
      <w:r w:rsidDel="00000000" w:rsidR="00000000" w:rsidRPr="00000000">
        <w:rPr>
          <w:rFonts w:ascii="Arial" w:cs="Arial" w:eastAsia="Arial" w:hAnsi="Arial"/>
          <w:rtl w:val="0"/>
        </w:rPr>
        <w:t xml:space="preserve"> de las poblaciones silvestres de caimán aguja en la zona.</w:t>
      </w:r>
    </w:p>
    <w:p w:rsidR="00000000" w:rsidDel="00000000" w:rsidP="00000000" w:rsidRDefault="00000000" w:rsidRPr="00000000" w14:paraId="00000010">
      <w:pPr>
        <w:tabs>
          <w:tab w:val="left" w:leader="none" w:pos="0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Todo lo anterior evidencia la necesidad de seguir desarrollando programas que fomenten una interacción informada entre las comunidades locales y los caimanes. Esto supone comprender sus funciones dentro de los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ecosistemas </w:t>
      </w:r>
      <w:r w:rsidDel="00000000" w:rsidR="00000000" w:rsidRPr="00000000">
        <w:rPr>
          <w:rFonts w:ascii="Arial" w:cs="Arial" w:eastAsia="Arial" w:hAnsi="Arial"/>
          <w:rtl w:val="0"/>
        </w:rPr>
        <w:t xml:space="preserve">y aprender a coexistir con ellos a partir del conocimiento. Asimismo, revela oportunidades para diseñar estrategias que promuevan el uso sostenible de la especie como recurso, permitiendo generar beneficios económicos mientras se avanza en su conservación.</w:t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Fichas relacionadas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BIO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2019: 303 |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BIO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2017: 303 |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BIO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2016: 103 |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BIO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2015: 103 |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BIO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2014: 102, 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0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0"/>
        </w:tabs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Temáticas</w:t>
      </w:r>
    </w:p>
    <w:p w:rsidR="00000000" w:rsidDel="00000000" w:rsidP="00000000" w:rsidRDefault="00000000" w:rsidRPr="00000000" w14:paraId="00000016">
      <w:pPr>
        <w:tabs>
          <w:tab w:val="left" w:leader="none" w:pos="0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Diversidad biológica, Especies amenazadas, Comunidades, Aprovechamiento</w:t>
      </w:r>
    </w:p>
    <w:p w:rsidR="00000000" w:rsidDel="00000000" w:rsidP="00000000" w:rsidRDefault="00000000" w:rsidRPr="00000000" w14:paraId="00000017">
      <w:pPr>
        <w:tabs>
          <w:tab w:val="left" w:leader="none" w:pos="0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Instituciones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University of Florida - IFAS Fort Lauderdale Research and Education Center.</w:t>
      </w:r>
    </w:p>
    <w:p w:rsidR="00000000" w:rsidDel="00000000" w:rsidP="00000000" w:rsidRDefault="00000000" w:rsidRPr="00000000" w14:paraId="0000001A">
      <w:pPr>
        <w:tabs>
          <w:tab w:val="left" w:leader="none" w:pos="1215"/>
        </w:tabs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215"/>
        </w:tabs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Salidas gráficas</w:t>
      </w:r>
    </w:p>
    <w:p w:rsidR="00000000" w:rsidDel="00000000" w:rsidP="00000000" w:rsidRDefault="00000000" w:rsidRPr="00000000" w14:paraId="0000001C">
      <w:pPr>
        <w:tabs>
          <w:tab w:val="left" w:leader="none" w:pos="1215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215"/>
        </w:tabs>
        <w:spacing w:after="0" w:line="360" w:lineRule="auto"/>
        <w:jc w:val="both"/>
        <w:rPr>
          <w:rFonts w:ascii="Arial" w:cs="Arial" w:eastAsia="Arial" w:hAnsi="Arial"/>
          <w:b w:val="1"/>
        </w:rPr>
      </w:pPr>
      <w:commentRangeStart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Salida 1 [mapa]. Presencia estimada del caimán aguja en el Caribe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215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4838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3822.9999999999995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6"/>
        <w:gridCol w:w="3067"/>
        <w:tblGridChange w:id="0">
          <w:tblGrid>
            <w:gridCol w:w="756"/>
            <w:gridCol w:w="306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250251" cy="236724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51" cy="2367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Presencia de caimán aguja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85750" cy="2762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Área habitable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348049" cy="184261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49" cy="1842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Ríos</w:t>
            </w:r>
          </w:p>
        </w:tc>
      </w:tr>
    </w:tbl>
    <w:p w:rsidR="00000000" w:rsidDel="00000000" w:rsidP="00000000" w:rsidRDefault="00000000" w:rsidRPr="00000000" w14:paraId="00000025">
      <w:pPr>
        <w:tabs>
          <w:tab w:val="left" w:leader="none" w:pos="1215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215"/>
        </w:tabs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Salida 2 [ilustración]</w:t>
      </w:r>
    </w:p>
    <w:p w:rsidR="00000000" w:rsidDel="00000000" w:rsidP="00000000" w:rsidRDefault="00000000" w:rsidRPr="00000000" w14:paraId="00000027">
      <w:pPr>
        <w:tabs>
          <w:tab w:val="left" w:leader="none" w:pos="1215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9507200" cy="1419225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419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215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215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[ícono reptil] [ícono vulnerable]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215"/>
        </w:tabs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Caimán aguja</w:t>
      </w:r>
    </w:p>
    <w:p w:rsidR="00000000" w:rsidDel="00000000" w:rsidP="00000000" w:rsidRDefault="00000000" w:rsidRPr="00000000" w14:paraId="0000002B">
      <w:pPr>
        <w:tabs>
          <w:tab w:val="left" w:leader="none" w:pos="1215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Crocodylus acutus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215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215"/>
        </w:tabs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Salida 4 [gráfico]. Abundancia de poblaciones de caimán aguja registradas en el Caribe (1992-2011)</w:t>
      </w:r>
    </w:p>
    <w:tbl>
      <w:tblPr>
        <w:tblStyle w:val="Table2"/>
        <w:tblW w:w="7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Departamento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Año de estudio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Abundancia (individuo/km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Ciénaga de Zapatosa Ciénaga Costilla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Cesar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15"/>
              </w:tabs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15"/>
              </w:tabs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Bahía Portete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Guajira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15"/>
              </w:tabs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2007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15"/>
              </w:tabs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1,37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Vía Parque Isla Salamanca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Magdalena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15"/>
              </w:tabs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2006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15"/>
              </w:tabs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7,78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Bahía de Cispatá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Córdoba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15"/>
              </w:tabs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2006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15"/>
              </w:tabs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0,74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Bahía de Cispatá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Córdoba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15"/>
              </w:tabs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2005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215"/>
              </w:tabs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Bahía de Cispatá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Córdoba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1215"/>
              </w:tabs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2004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1215"/>
              </w:tabs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0,73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Bahía de Cispatá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Córdoba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1215"/>
              </w:tabs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2003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1215"/>
              </w:tabs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0,94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Bahía de Cispatá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Córdoba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1215"/>
              </w:tabs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2002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1215"/>
              </w:tabs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Bahía de Cispatá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Córdoba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1215"/>
              </w:tabs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2001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1215"/>
              </w:tabs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Bahía Portete</w:t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Guajira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1215"/>
              </w:tabs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1995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1215"/>
              </w:tabs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Bahía Portete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1215"/>
              </w:tabs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Guajira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1215"/>
              </w:tabs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1992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1215"/>
              </w:tabs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0,09</w:t>
            </w:r>
          </w:p>
        </w:tc>
      </w:tr>
    </w:tbl>
    <w:p w:rsidR="00000000" w:rsidDel="00000000" w:rsidP="00000000" w:rsidRDefault="00000000" w:rsidRPr="00000000" w14:paraId="0000005E">
      <w:pPr>
        <w:tabs>
          <w:tab w:val="left" w:leader="none" w:pos="1215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eporte BIO" w:id="0" w:date="2025-08-20T21:07:41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Exploremos una paleta chévere.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5.jp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