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105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Peces de agua dulce: alternativas de conservación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Ángela Liliana Gutiérrez-Cortés</w:t>
      </w:r>
      <w:r w:rsidDel="00000000" w:rsidR="00000000" w:rsidRPr="00000000">
        <w:rPr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Carlos A. García-Alzate</w:t>
      </w:r>
      <w:r w:rsidDel="00000000" w:rsidR="00000000" w:rsidRPr="00000000">
        <w:rPr>
          <w:highlight w:val="yellow"/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Yesid Fernando Rondón-Martínez</w:t>
      </w:r>
      <w:r w:rsidDel="00000000" w:rsidR="00000000" w:rsidRPr="00000000">
        <w:rPr>
          <w:highlight w:val="yellow"/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Yuliana Chala-Velásquez</w:t>
      </w:r>
      <w:r w:rsidDel="00000000" w:rsidR="00000000" w:rsidRPr="00000000">
        <w:rPr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Juan David Guzmán-Ayala</w:t>
      </w:r>
      <w:r w:rsidDel="00000000" w:rsidR="00000000" w:rsidRPr="00000000">
        <w:rPr>
          <w:highlight w:val="yellow"/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y Robinson Fabián Sánchez-Letrado</w:t>
      </w:r>
      <w:r w:rsidDel="00000000" w:rsidR="00000000" w:rsidRPr="00000000">
        <w:rPr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Destacado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deterioro de los ecosistemas acuáticos del Caribe colombiano requiere de enfoques comunitarios para proteger la ictiofauna de la región.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Cuerpo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Las complejas redes fluviales del Caribe colombiano albergan una importante diversidad de peces. </w:t>
      </w:r>
      <w:r w:rsidDel="00000000" w:rsidR="00000000" w:rsidRPr="00000000">
        <w:rPr>
          <w:rtl w:val="0"/>
        </w:rPr>
        <w:t xml:space="preserve">A la fecha, se estima que en la región habitan aproximadamente </w:t>
      </w:r>
      <w:r w:rsidDel="00000000" w:rsidR="00000000" w:rsidRPr="00000000">
        <w:rPr>
          <w:rtl w:val="0"/>
        </w:rPr>
        <w:t xml:space="preserve">207 especies</w:t>
      </w:r>
      <w:r w:rsidDel="00000000" w:rsidR="00000000" w:rsidRPr="00000000">
        <w:rPr>
          <w:rtl w:val="0"/>
        </w:rPr>
        <w:t xml:space="preserve"> de agua dulce, de un total de 1711 registradas en el país, lo que equivale al 12,1 % del total nacional</w:t>
      </w:r>
      <w:r w:rsidDel="00000000" w:rsidR="00000000" w:rsidRPr="00000000">
        <w:rPr>
          <w:highlight w:val="yellow"/>
          <w:vertAlign w:val="superscript"/>
          <w:rtl w:val="0"/>
        </w:rPr>
        <w:t xml:space="preserve">1-4</w:t>
      </w:r>
      <w:r w:rsidDel="00000000" w:rsidR="00000000" w:rsidRPr="00000000">
        <w:rPr>
          <w:rtl w:val="0"/>
        </w:rPr>
        <w:t xml:space="preserve">. Esta diversidad enfrenta múltiples amenazas derivadas de actividades humanas que afectan negativamente la integridad de los ecosistemas acuáticos. Entre ellas</w:t>
      </w:r>
      <w:r w:rsidDel="00000000" w:rsidR="00000000" w:rsidRPr="00000000">
        <w:rPr>
          <w:rtl w:val="0"/>
        </w:rPr>
        <w:t xml:space="preserve">, se encuentran la contaminación por residuos agroindustriales, vertimientos domésticos, metales pesados y microplásticos; la construcción de hidroeléctricas; la introducción de especies exóticas; los cambios en el </w:t>
      </w:r>
      <w:r w:rsidDel="00000000" w:rsidR="00000000" w:rsidRPr="00000000">
        <w:rPr>
          <w:b w:val="1"/>
          <w:rtl w:val="0"/>
        </w:rPr>
        <w:t xml:space="preserve">uso del suelo</w:t>
      </w:r>
      <w:r w:rsidDel="00000000" w:rsidR="00000000" w:rsidRPr="00000000">
        <w:rPr>
          <w:rtl w:val="0"/>
        </w:rPr>
        <w:t xml:space="preserve"> y las prácticas de pesca inadecuadas.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hacer frente a estas amenazas, es fundamental fortalecer la </w:t>
      </w:r>
      <w:r w:rsidDel="00000000" w:rsidR="00000000" w:rsidRPr="00000000">
        <w:rPr>
          <w:b w:val="1"/>
          <w:rtl w:val="0"/>
        </w:rPr>
        <w:t xml:space="preserve">gobernanza </w:t>
      </w:r>
      <w:r w:rsidDel="00000000" w:rsidR="00000000" w:rsidRPr="00000000">
        <w:rPr>
          <w:rtl w:val="0"/>
        </w:rPr>
        <w:t xml:space="preserve">local y fomentar la participación comunitaria en la formulación de políticas públicas. Esto implica, entre otras acciones, la prevención y control de fuentes contaminantes y de </w:t>
      </w:r>
      <w:r w:rsidDel="00000000" w:rsidR="00000000" w:rsidRPr="00000000">
        <w:rPr>
          <w:b w:val="1"/>
          <w:rtl w:val="0"/>
        </w:rPr>
        <w:t xml:space="preserve">especies exóticas</w:t>
      </w:r>
      <w:r w:rsidDel="00000000" w:rsidR="00000000" w:rsidRPr="00000000">
        <w:rPr>
          <w:rtl w:val="0"/>
        </w:rPr>
        <w:t xml:space="preserve"> invasoras, la regulación de las prácticas de pesca y la implementación de un ordenamiento territorial que priorice la sostenibilidad de los </w:t>
      </w:r>
      <w:r w:rsidDel="00000000" w:rsidR="00000000" w:rsidRPr="00000000">
        <w:rPr>
          <w:b w:val="1"/>
          <w:rtl w:val="0"/>
        </w:rPr>
        <w:t xml:space="preserve">socioecosistemas </w:t>
      </w:r>
      <w:r w:rsidDel="00000000" w:rsidR="00000000" w:rsidRPr="00000000">
        <w:rPr>
          <w:rtl w:val="0"/>
        </w:rPr>
        <w:t xml:space="preserve">asociados al agua.</w:t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Una herramienta clave en este proceso es el </w:t>
      </w:r>
      <w:r w:rsidDel="00000000" w:rsidR="00000000" w:rsidRPr="00000000">
        <w:rPr>
          <w:b w:val="1"/>
          <w:rtl w:val="0"/>
        </w:rPr>
        <w:t xml:space="preserve">monitoreo </w:t>
      </w:r>
      <w:r w:rsidDel="00000000" w:rsidR="00000000" w:rsidRPr="00000000">
        <w:rPr>
          <w:rtl w:val="0"/>
        </w:rPr>
        <w:t xml:space="preserve">comunitario participativo, ya que permite generar conocimiento y fortalecer capacidades locales mediante la colaboración de comunidades y expertos. Este enfoque facilita, entre otras cosas, la documentación de información de las historias de vida de especies de interés pesquero, promoviendo la apropiación social del conocimiento y la articulación interinstitucional en torno a la pesca artesanal</w:t>
      </w:r>
      <w:r w:rsidDel="00000000" w:rsidR="00000000" w:rsidRPr="00000000">
        <w:rPr>
          <w:highlight w:val="yellow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 Además, permite distintos niveles de involucramiento comunitario en la implementación de acciones orientadas al manejo sustentable de la pesca.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Conservar la ictiofauna dulceacuícola del Caribe requiere, por tanto, un enfoque integral que fortalezca la gobernanza local, promueva la investigación sobre la diversidad de peces y sus aspectos biológicos y ecológicos, e impulse medidas de </w:t>
      </w:r>
      <w:r w:rsidDel="00000000" w:rsidR="00000000" w:rsidRPr="00000000">
        <w:rPr>
          <w:b w:val="1"/>
          <w:rtl w:val="0"/>
        </w:rPr>
        <w:t xml:space="preserve">restauración</w:t>
      </w:r>
      <w:r w:rsidDel="00000000" w:rsidR="00000000" w:rsidRPr="00000000">
        <w:rPr>
          <w:rtl w:val="0"/>
        </w:rPr>
        <w:t xml:space="preserve">. La participación de las comunidades, junto con la formulación de regulaciones adecuadas y políticas públicas cocreadas, es esencial para la </w:t>
      </w:r>
      <w:r w:rsidDel="00000000" w:rsidR="00000000" w:rsidRPr="00000000">
        <w:rPr>
          <w:b w:val="1"/>
          <w:rtl w:val="0"/>
        </w:rPr>
        <w:t xml:space="preserve">conservación</w:t>
      </w:r>
      <w:r w:rsidDel="00000000" w:rsidR="00000000" w:rsidRPr="00000000">
        <w:rPr>
          <w:rtl w:val="0"/>
        </w:rPr>
        <w:t xml:space="preserve">, la comprensión de las dinámicas ecológicas y el fomento del bienestar socioeconómico de la región.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bookmarkStart w:colFirst="0" w:colLast="0" w:name="_si2ogxyftu1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Fichas relacionadas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BIO</w:t>
      </w:r>
      <w:r w:rsidDel="00000000" w:rsidR="00000000" w:rsidRPr="00000000">
        <w:rPr>
          <w:rtl w:val="0"/>
        </w:rPr>
        <w:t xml:space="preserve"> 2023: 401, 404 | </w:t>
      </w:r>
      <w:r w:rsidDel="00000000" w:rsidR="00000000" w:rsidRPr="00000000">
        <w:rPr>
          <w:b w:val="1"/>
          <w:rtl w:val="0"/>
        </w:rPr>
        <w:t xml:space="preserve">BIO </w:t>
      </w:r>
      <w:r w:rsidDel="00000000" w:rsidR="00000000" w:rsidRPr="00000000">
        <w:rPr>
          <w:rtl w:val="0"/>
        </w:rPr>
        <w:t xml:space="preserve">2020: 306 | </w:t>
      </w:r>
      <w:r w:rsidDel="00000000" w:rsidR="00000000" w:rsidRPr="00000000">
        <w:rPr>
          <w:b w:val="1"/>
          <w:rtl w:val="0"/>
        </w:rPr>
        <w:t xml:space="preserve">BIO </w:t>
      </w:r>
      <w:r w:rsidDel="00000000" w:rsidR="00000000" w:rsidRPr="00000000">
        <w:rPr>
          <w:rtl w:val="0"/>
        </w:rPr>
        <w:t xml:space="preserve">2019: 405 | </w:t>
      </w:r>
      <w:r w:rsidDel="00000000" w:rsidR="00000000" w:rsidRPr="00000000">
        <w:rPr>
          <w:b w:val="1"/>
          <w:rtl w:val="0"/>
        </w:rPr>
        <w:t xml:space="preserve">BIO </w:t>
      </w:r>
      <w:r w:rsidDel="00000000" w:rsidR="00000000" w:rsidRPr="00000000">
        <w:rPr>
          <w:rtl w:val="0"/>
        </w:rPr>
        <w:t xml:space="preserve">2017: 102, 105, 203 | </w:t>
      </w:r>
      <w:r w:rsidDel="00000000" w:rsidR="00000000" w:rsidRPr="00000000">
        <w:rPr>
          <w:b w:val="1"/>
          <w:rtl w:val="0"/>
        </w:rPr>
        <w:t xml:space="preserve">BIO </w:t>
      </w:r>
      <w:r w:rsidDel="00000000" w:rsidR="00000000" w:rsidRPr="00000000">
        <w:rPr>
          <w:rtl w:val="0"/>
        </w:rPr>
        <w:t xml:space="preserve">2015: 201, 203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Temáticas</w:t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Recurso pesquero, Peces dulceacuícolas, Gestión territorial, Comunidades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bookmarkStart w:colFirst="0" w:colLast="0" w:name="_5lrhvj5dfvl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Instituciones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a. Instituto Humboldt; b. Universidad del Atlántico; c. Fundación Natura Colombia; d. Universidad de Córdoba.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bookmarkStart w:colFirst="0" w:colLast="0" w:name="_8joiavg01b9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 gráficas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Salida 1 [mapa]. Diversidad de especies registradas en el Caribe por subcuenca hidrográfica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48138" cy="612905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6129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.9999999999998"/>
        <w:gridCol w:w="3495"/>
        <w:gridCol w:w="2850"/>
        <w:tblGridChange w:id="0">
          <w:tblGrid>
            <w:gridCol w:w="784.9999999999998"/>
            <w:gridCol w:w="3495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00100" cy="447675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Cuenca del Caribe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42950" cy="409575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Cuenca del Magdalena-Cauca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47650" cy="232641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26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Ríos y cuerpos de 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 y medio Cauca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7175" cy="20955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 Magdalena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38125" cy="209550"/>
                  <wp:effectExtent b="0" l="0" r="0" t="0"/>
                  <wp:docPr id="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Río Atrato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7175" cy="228600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Río Cesar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1463" cy="21388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13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Río San 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7175" cy="20955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commentRangeStart w:id="6"/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2413" cy="20193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3" cy="201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Ranchería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commentRangeStart w:id="7"/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1463" cy="231542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315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Sierra Nevada de Santa Marta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commentRangeStart w:id="8"/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</w:rPr>
      </w:pP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2 [gráfico]. Composición de la ictiofauna del Caribe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Especies endémicas = 149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Especies migratorias = 16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Especies de uso pesquero/ornamental = 58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Salida 3 [gráfico]. Especies dulceacuícolas en categorías de amenaza</w:t>
      </w:r>
      <w:r w:rsidDel="00000000" w:rsidR="00000000" w:rsidRPr="00000000">
        <w:rPr>
          <w:rtl w:val="0"/>
        </w:rPr>
      </w:r>
    </w:p>
    <w:tbl>
      <w:tblPr>
        <w:tblStyle w:val="Table2"/>
        <w:tblW w:w="86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3060"/>
        <w:gridCol w:w="1500"/>
        <w:gridCol w:w="2064.9999999999995"/>
        <w:tblGridChange w:id="0">
          <w:tblGrid>
            <w:gridCol w:w="2040"/>
            <w:gridCol w:w="3060"/>
            <w:gridCol w:w="1500"/>
            <w:gridCol w:w="2064.9999999999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común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científico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de amenaza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Endémica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Pimelodus grosskopfii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Bagre rayado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Pseudoplatystoma magdaleniatum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Corunta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Parodon alfonsoi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Sabaleta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Brycon labiatus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Lamprea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Gymnotus ardilai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Jetudo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Ichthyoelephas longirostris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Callichthys fabricioi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Sabaleta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Brycon fowleri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Brycon moorei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Cachana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Cynopotamus atratoensis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Boquiancha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Genycharax tarpon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Yamú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Megaleporinus muyscorum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Marranito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Parodon suborbitalis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Micudo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Pimelodella macrocephala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b w:val="1"/>
        </w:rPr>
      </w:pPr>
      <w:commentRangeStart w:id="9"/>
      <w:r w:rsidDel="00000000" w:rsidR="00000000" w:rsidRPr="00000000">
        <w:rPr>
          <w:b w:val="1"/>
          <w:rtl w:val="0"/>
        </w:rPr>
        <w:t xml:space="preserve">Salida 4 [gráfico]. Principales amenazas de la ictiofauna dulceacuícola y alternativas de manejo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030200" cy="59150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0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Salida 5 [Ilustración]</w:t>
      </w:r>
    </w:p>
    <w:p w:rsidR="00000000" w:rsidDel="00000000" w:rsidP="00000000" w:rsidRDefault="00000000" w:rsidRPr="00000000" w14:paraId="00000088">
      <w:pPr>
        <w:spacing w:line="276" w:lineRule="auto"/>
        <w:rPr>
          <w:highlight w:val="whit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53200" cy="258369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25548" l="0" r="0" t="2020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58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[ícono pez] [ícono CR]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Capaz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i w:val="1"/>
          <w:rtl w:val="0"/>
        </w:rPr>
        <w:t xml:space="preserve">Pimelodus grosskopfii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Salida 6 [gráfico]. Esquema de monitoreo participativo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507200" cy="9105900"/>
            <wp:effectExtent b="0" l="0" r="0" t="0"/>
            <wp:docPr id="1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910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8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495"/>
        <w:gridCol w:w="1824.9999999999995"/>
        <w:tblGridChange w:id="0">
          <w:tblGrid>
            <w:gridCol w:w="1545"/>
            <w:gridCol w:w="3495"/>
            <w:gridCol w:w="182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Cocreado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Análisis documental (actores y territorial)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Acercamiento territorial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Diagnóstico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Alcance (objetivos y área de estudio)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Variables e indicadores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Diseño metodológico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Colaborativo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de monitoreo y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Fortalecimiento de capacidades técnicas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Implementación y seguimiento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Sistematización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Análisis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Socialización y difusión de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Evaluación y toma de decisiones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Uso de resultados a diferentes escalas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Proyectado</w:t>
            </w:r>
          </w:p>
        </w:tc>
      </w:tr>
    </w:tbl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eporte BIO" w:id="0" w:date="2025-07-02T18:37:41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Diseño: exploremos mejores colores.</w:t>
      </w:r>
    </w:p>
  </w:comment>
  <w:comment w:author="Reporte BIO" w:id="9" w:date="2025-09-04T14:38:15Z"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Alerta de texto: revisemos.</w:t>
      </w:r>
    </w:p>
  </w:comment>
  <w:comment w:author="Reporte BIO" w:id="1" w:date="2025-07-02T18:35:25Z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Diseño: asociar estos números a cada región en el mapa.</w:t>
      </w:r>
    </w:p>
  </w:comment>
  <w:comment w:author="Reporte BIO" w:id="2" w:date="2025-07-02T18:35:25Z"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Diseño: asociar estos números a cada región en el mapa.</w:t>
      </w:r>
    </w:p>
  </w:comment>
  <w:comment w:author="Reporte BIO" w:id="3" w:date="2025-07-02T18:35:25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Diseño: asociar estos números a cada región en el mapa.</w:t>
      </w:r>
    </w:p>
  </w:comment>
  <w:comment w:author="Reporte BIO" w:id="4" w:date="2025-07-02T18:35:25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Diseño: asociar estos números a cada región en el mapa.</w:t>
      </w:r>
    </w:p>
  </w:comment>
  <w:comment w:author="Reporte BIO" w:id="5" w:date="2025-07-02T18:35:25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Diseño: asociar estos números a cada región en el mapa.</w:t>
      </w:r>
    </w:p>
  </w:comment>
  <w:comment w:author="Reporte BIO" w:id="6" w:date="2025-07-02T18:35:25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Diseño: asociar estos números a cada región en el mapa.</w:t>
      </w:r>
    </w:p>
  </w:comment>
  <w:comment w:author="Reporte BIO" w:id="7" w:date="2025-07-02T18:35:25Z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Diseño: asociar estos números a cada región en el mapa.</w:t>
      </w:r>
    </w:p>
  </w:comment>
  <w:comment w:author="Reporte BIO" w:id="8" w:date="2025-07-02T18:35:25Z"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Diseño: asociar estos números a cada región en el mapa.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image" Target="media/image9.png"/><Relationship Id="rId22" Type="http://schemas.openxmlformats.org/officeDocument/2006/relationships/footer" Target="footer1.xml"/><Relationship Id="rId10" Type="http://schemas.openxmlformats.org/officeDocument/2006/relationships/image" Target="media/image6.png"/><Relationship Id="rId21" Type="http://schemas.openxmlformats.org/officeDocument/2006/relationships/image" Target="media/image15.jp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6" Type="http://schemas.openxmlformats.org/officeDocument/2006/relationships/styles" Target="styles.xml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