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ptos" w:cs="Aptos" w:eastAsia="Aptos" w:hAnsi="Aptos"/>
          <w:b w:val="1"/>
          <w:sz w:val="40"/>
          <w:szCs w:val="40"/>
        </w:rPr>
      </w:pPr>
      <w:r w:rsidDel="00000000" w:rsidR="00000000" w:rsidRPr="00000000">
        <w:rPr>
          <w:rFonts w:ascii="Aptos" w:cs="Aptos" w:eastAsia="Aptos" w:hAnsi="Aptos"/>
          <w:b w:val="1"/>
          <w:sz w:val="40"/>
          <w:szCs w:val="40"/>
          <w:rtl w:val="0"/>
        </w:rPr>
        <w:t xml:space="preserve"> 106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Título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Plantas útiles. Agrobiodiversidad y bioeconomía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Autores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Germán Torres-Morales</w:t>
      </w:r>
      <w:r w:rsidDel="00000000" w:rsidR="00000000" w:rsidRPr="00000000">
        <w:rPr>
          <w:rFonts w:ascii="Aptos" w:cs="Aptos" w:eastAsia="Aptos" w:hAnsi="Aptos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ptos" w:cs="Aptos" w:eastAsia="Aptos" w:hAnsi="Aptos"/>
          <w:rtl w:val="0"/>
        </w:rPr>
        <w:t xml:space="preserve">, Manuela Montoya-Castrillón</w:t>
      </w:r>
      <w:r w:rsidDel="00000000" w:rsidR="00000000" w:rsidRPr="00000000">
        <w:rPr>
          <w:rFonts w:ascii="Aptos" w:cs="Aptos" w:eastAsia="Aptos" w:hAnsi="Aptos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ptos" w:cs="Aptos" w:eastAsia="Aptos" w:hAnsi="Aptos"/>
          <w:rtl w:val="0"/>
        </w:rPr>
        <w:t xml:space="preserve">, Mónica Andrea Flórez Pulido</w:t>
      </w:r>
      <w:r w:rsidDel="00000000" w:rsidR="00000000" w:rsidRPr="00000000">
        <w:rPr>
          <w:rFonts w:ascii="Aptos" w:cs="Aptos" w:eastAsia="Aptos" w:hAnsi="Aptos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Fonts w:ascii="Aptos" w:cs="Aptos" w:eastAsia="Aptos" w:hAnsi="Aptos"/>
          <w:rtl w:val="0"/>
        </w:rPr>
        <w:t xml:space="preserve"> y Klaudia Cárdenas Botero</w:t>
      </w:r>
      <w:r w:rsidDel="00000000" w:rsidR="00000000" w:rsidRPr="00000000">
        <w:rPr>
          <w:rFonts w:ascii="Aptos" w:cs="Aptos" w:eastAsia="Aptos" w:hAnsi="Aptos"/>
          <w:highlight w:val="yellow"/>
          <w:vertAlign w:val="superscript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Destacado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Con más de 1573 especies nativas de plantas útiles, el Caribe tiene el potencial de transformar su economía y garantizar la seguridad alimentaria de sus comunidades mediante el uso sostenible de la biodiversidad.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Cuerpo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Más del 20 % del total de especies de flora útiles registradas para el país (1573 especies) se encuentra en el Caribe Colombiano, una región caracterizada por su inmensa riqueza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biocultural</w:t>
      </w:r>
      <w:r w:rsidDel="00000000" w:rsidR="00000000" w:rsidRPr="00000000">
        <w:rPr>
          <w:rFonts w:ascii="Aptos" w:cs="Aptos" w:eastAsia="Aptos" w:hAnsi="Aptos"/>
          <w:highlight w:val="yellow"/>
          <w:vertAlign w:val="superscript"/>
          <w:rtl w:val="0"/>
        </w:rPr>
        <w:t xml:space="preserve">1</w:t>
      </w:r>
      <w:r w:rsidDel="00000000" w:rsidR="00000000" w:rsidRPr="00000000">
        <w:rPr>
          <w:rFonts w:ascii="Aptos" w:cs="Aptos" w:eastAsia="Aptos" w:hAnsi="Aptos"/>
          <w:rtl w:val="0"/>
        </w:rPr>
        <w:t xml:space="preserve">. Estas plantas, empleadas como medicina, alimento humano o materia prima, reflejan no solo el acervo cultural de pueblos indígenas, negros y palenqueros, sino también un potencial transformador para la economía y la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soberanía alimentaria</w:t>
      </w:r>
      <w:r w:rsidDel="00000000" w:rsidR="00000000" w:rsidRPr="00000000">
        <w:rPr>
          <w:rFonts w:ascii="Aptos" w:cs="Aptos" w:eastAsia="Aptos" w:hAnsi="Aptos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Proyectos adelantados por el Instituto Humboldt con comunidades de Barranquilla, Montes de María y Becerril permitieron identificar y priorizar algunas especies útiles de la región, según su potencial de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aprovechamiento sostenible</w:t>
      </w:r>
      <w:r w:rsidDel="00000000" w:rsidR="00000000" w:rsidRPr="00000000">
        <w:rPr>
          <w:rFonts w:ascii="Aptos" w:cs="Aptos" w:eastAsia="Aptos" w:hAnsi="Aptos"/>
          <w:rtl w:val="0"/>
        </w:rPr>
        <w:t xml:space="preserve">. Tal es el caso del corozo, el mamón, el jobo, el bijao y el guásimo. Además de su valor alimenticio, estas plantas presentan usos en distintos sectores. El fruto del corozo, por ejemplo, es rico en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antocianinas</w:t>
      </w:r>
      <w:r w:rsidDel="00000000" w:rsidR="00000000" w:rsidRPr="00000000">
        <w:rPr>
          <w:rFonts w:ascii="Aptos" w:cs="Aptos" w:eastAsia="Aptos" w:hAnsi="Aptos"/>
          <w:rtl w:val="0"/>
        </w:rPr>
        <w:t xml:space="preserve">, compuestos con aplicaciones cosméticas y medicinales, empleados en fitomedicamentos contra enfermedades neurodegenerativas; el mamón se destaca por su contenido de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flavonoides </w:t>
      </w:r>
      <w:r w:rsidDel="00000000" w:rsidR="00000000" w:rsidRPr="00000000">
        <w:rPr>
          <w:rFonts w:ascii="Aptos" w:cs="Aptos" w:eastAsia="Aptos" w:hAnsi="Aptos"/>
          <w:rtl w:val="0"/>
        </w:rPr>
        <w:t xml:space="preserve">y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glicósidos</w:t>
      </w:r>
      <w:r w:rsidDel="00000000" w:rsidR="00000000" w:rsidRPr="00000000">
        <w:rPr>
          <w:rFonts w:ascii="Aptos" w:cs="Aptos" w:eastAsia="Aptos" w:hAnsi="Aptos"/>
          <w:rtl w:val="0"/>
        </w:rPr>
        <w:t xml:space="preserve">, útiles en el tratamiento de enfermedades gastrointestinales, hipertensión y diabetes</w:t>
      </w:r>
      <w:r w:rsidDel="00000000" w:rsidR="00000000" w:rsidRPr="00000000">
        <w:rPr>
          <w:rFonts w:ascii="Aptos" w:cs="Aptos" w:eastAsia="Aptos" w:hAnsi="Aptos"/>
          <w:highlight w:val="yellow"/>
          <w:vertAlign w:val="superscript"/>
          <w:rtl w:val="0"/>
        </w:rPr>
        <w:t xml:space="preserve">4-8</w:t>
      </w:r>
      <w:r w:rsidDel="00000000" w:rsidR="00000000" w:rsidRPr="00000000">
        <w:rPr>
          <w:rFonts w:ascii="Aptos" w:cs="Aptos" w:eastAsia="Aptos" w:hAnsi="Aptos"/>
          <w:rtl w:val="0"/>
        </w:rPr>
        <w:t xml:space="preserve">; y el jobo contiene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polisacáridos </w:t>
      </w:r>
      <w:r w:rsidDel="00000000" w:rsidR="00000000" w:rsidRPr="00000000">
        <w:rPr>
          <w:rFonts w:ascii="Aptos" w:cs="Aptos" w:eastAsia="Aptos" w:hAnsi="Aptos"/>
          <w:rtl w:val="0"/>
        </w:rPr>
        <w:t xml:space="preserve">y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carotenoides </w:t>
      </w:r>
      <w:r w:rsidDel="00000000" w:rsidR="00000000" w:rsidRPr="00000000">
        <w:rPr>
          <w:rFonts w:ascii="Aptos" w:cs="Aptos" w:eastAsia="Aptos" w:hAnsi="Aptos"/>
          <w:rtl w:val="0"/>
        </w:rPr>
        <w:t xml:space="preserve">con potencial uso como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nutracéuticos</w:t>
      </w:r>
      <w:r w:rsidDel="00000000" w:rsidR="00000000" w:rsidRPr="00000000">
        <w:rPr>
          <w:rFonts w:ascii="Aptos" w:cs="Aptos" w:eastAsia="Aptos" w:hAnsi="Aptos"/>
          <w:highlight w:val="yellow"/>
          <w:vertAlign w:val="superscript"/>
          <w:rtl w:val="0"/>
        </w:rPr>
        <w:t xml:space="preserve">9-12</w:t>
      </w:r>
      <w:r w:rsidDel="00000000" w:rsidR="00000000" w:rsidRPr="00000000">
        <w:rPr>
          <w:rFonts w:ascii="Aptos" w:cs="Aptos" w:eastAsia="Aptos" w:hAnsi="Aptos"/>
          <w:rtl w:val="0"/>
        </w:rPr>
        <w:t xml:space="preserve">.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Dado que el Caribe es la región colombiana más afectada por la inseguridad alimentaria en términos de acceso y nutrición</w:t>
      </w:r>
      <w:r w:rsidDel="00000000" w:rsidR="00000000" w:rsidRPr="00000000">
        <w:rPr>
          <w:rFonts w:ascii="Aptos" w:cs="Aptos" w:eastAsia="Aptos" w:hAnsi="Aptos"/>
          <w:highlight w:val="yellow"/>
          <w:vertAlign w:val="superscript"/>
          <w:rtl w:val="0"/>
        </w:rPr>
        <w:t xml:space="preserve">2</w:t>
      </w:r>
      <w:r w:rsidDel="00000000" w:rsidR="00000000" w:rsidRPr="00000000">
        <w:rPr>
          <w:rFonts w:ascii="Aptos" w:cs="Aptos" w:eastAsia="Aptos" w:hAnsi="Aptos"/>
          <w:rtl w:val="0"/>
        </w:rPr>
        <w:t xml:space="preserve">, el aprovechamiento de especies vegetales útiles podría contribuir a mitigar dicha problemática. Estas plantas permiten diversificar los medios de vida de las comunidades, proveer alimentos ricos en nutrientes y facilitar el establecimiento de sistemas productivos sostenibles que integren tradiciones y conocimientos locales. La comercialización de estos alimentos representa, además, una oportunidad importante en términos económicos, ya que los excedentes pueden generar ingresos adicionales para las familias mediante su transformación y venta. Uno de los principales desafíos es lograr su integración en cadenas de valor consolidadas que involucren a las comunidades locales.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El diseño de sistemas productivos basados en la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agrobiodiversidad </w:t>
      </w:r>
      <w:r w:rsidDel="00000000" w:rsidR="00000000" w:rsidRPr="00000000">
        <w:rPr>
          <w:rFonts w:ascii="Aptos" w:cs="Aptos" w:eastAsia="Aptos" w:hAnsi="Aptos"/>
          <w:rtl w:val="0"/>
        </w:rPr>
        <w:t xml:space="preserve">contribuye a reducir la dependencia de unos pocos cultivos y a fortalecer la seguridad alimentaria. Sin embargo, su implementación requiere acciones clave, como la conservación de coberturas naturales, la diversificación de los </w:t>
      </w: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agroecosistemas </w:t>
      </w:r>
      <w:r w:rsidDel="00000000" w:rsidR="00000000" w:rsidRPr="00000000">
        <w:rPr>
          <w:rFonts w:ascii="Aptos" w:cs="Aptos" w:eastAsia="Aptos" w:hAnsi="Aptos"/>
          <w:rtl w:val="0"/>
        </w:rPr>
        <w:t xml:space="preserve">con especies nativas y promisorias, el fomento de la investigación y la definición de medidas de aprovechamiento sostenible. Este enfoque puede llegar a transformar los alimentos en oportunidades para la autosuficiencia, la agregación de valor y el empoderamiento comunitario, al reconocer el papel de las comunidades en la gestión de sus recursos.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line="36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Fichas relacionadas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b w:val="1"/>
          <w:highlight w:val="white"/>
          <w:rtl w:val="0"/>
        </w:rPr>
        <w:t xml:space="preserve">BIO</w:t>
      </w:r>
      <w:r w:rsidDel="00000000" w:rsidR="00000000" w:rsidRPr="00000000">
        <w:rPr>
          <w:rFonts w:ascii="Aptos" w:cs="Aptos" w:eastAsia="Aptos" w:hAnsi="Aptos"/>
          <w:highlight w:val="white"/>
          <w:rtl w:val="0"/>
        </w:rPr>
        <w:t xml:space="preserve"> 2022: 203, 403 | </w:t>
      </w:r>
      <w:r w:rsidDel="00000000" w:rsidR="00000000" w:rsidRPr="00000000">
        <w:rPr>
          <w:rFonts w:ascii="Aptos" w:cs="Aptos" w:eastAsia="Aptos" w:hAnsi="Aptos"/>
          <w:b w:val="1"/>
          <w:highlight w:val="white"/>
          <w:rtl w:val="0"/>
        </w:rPr>
        <w:t xml:space="preserve">BIO </w:t>
      </w:r>
      <w:r w:rsidDel="00000000" w:rsidR="00000000" w:rsidRPr="00000000">
        <w:rPr>
          <w:rFonts w:ascii="Aptos" w:cs="Aptos" w:eastAsia="Aptos" w:hAnsi="Aptos"/>
          <w:highlight w:val="white"/>
          <w:rtl w:val="0"/>
        </w:rPr>
        <w:t xml:space="preserve">2019: 202 | </w:t>
      </w:r>
      <w:r w:rsidDel="00000000" w:rsidR="00000000" w:rsidRPr="00000000">
        <w:rPr>
          <w:rFonts w:ascii="Aptos" w:cs="Aptos" w:eastAsia="Aptos" w:hAnsi="Aptos"/>
          <w:b w:val="1"/>
          <w:highlight w:val="white"/>
          <w:rtl w:val="0"/>
        </w:rPr>
        <w:t xml:space="preserve">BIO </w:t>
      </w:r>
      <w:r w:rsidDel="00000000" w:rsidR="00000000" w:rsidRPr="00000000">
        <w:rPr>
          <w:rFonts w:ascii="Aptos" w:cs="Aptos" w:eastAsia="Aptos" w:hAnsi="Aptos"/>
          <w:highlight w:val="white"/>
          <w:rtl w:val="0"/>
        </w:rPr>
        <w:t xml:space="preserve">2018: 302 | </w:t>
      </w:r>
      <w:r w:rsidDel="00000000" w:rsidR="00000000" w:rsidRPr="00000000">
        <w:rPr>
          <w:rFonts w:ascii="Aptos" w:cs="Aptos" w:eastAsia="Aptos" w:hAnsi="Aptos"/>
          <w:b w:val="1"/>
          <w:highlight w:val="white"/>
          <w:rtl w:val="0"/>
        </w:rPr>
        <w:t xml:space="preserve">BIO </w:t>
      </w:r>
      <w:r w:rsidDel="00000000" w:rsidR="00000000" w:rsidRPr="00000000">
        <w:rPr>
          <w:rFonts w:ascii="Aptos" w:cs="Aptos" w:eastAsia="Aptos" w:hAnsi="Aptos"/>
          <w:highlight w:val="white"/>
          <w:rtl w:val="0"/>
        </w:rPr>
        <w:t xml:space="preserve">2017: 101 | </w:t>
      </w:r>
      <w:r w:rsidDel="00000000" w:rsidR="00000000" w:rsidRPr="00000000">
        <w:rPr>
          <w:rFonts w:ascii="Aptos" w:cs="Aptos" w:eastAsia="Aptos" w:hAnsi="Aptos"/>
          <w:b w:val="1"/>
          <w:highlight w:val="white"/>
          <w:rtl w:val="0"/>
        </w:rPr>
        <w:t xml:space="preserve">BIO </w:t>
      </w:r>
      <w:r w:rsidDel="00000000" w:rsidR="00000000" w:rsidRPr="00000000">
        <w:rPr>
          <w:rFonts w:ascii="Aptos" w:cs="Aptos" w:eastAsia="Aptos" w:hAnsi="Aptos"/>
          <w:highlight w:val="white"/>
          <w:rtl w:val="0"/>
        </w:rPr>
        <w:t xml:space="preserve">2016: 202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line="36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0"/>
        </w:tabs>
        <w:spacing w:line="36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Temáticas</w:t>
      </w:r>
    </w:p>
    <w:p w:rsidR="00000000" w:rsidDel="00000000" w:rsidP="00000000" w:rsidRDefault="00000000" w:rsidRPr="00000000" w14:paraId="00000015">
      <w:pPr>
        <w:tabs>
          <w:tab w:val="left" w:leader="none" w:pos="0"/>
        </w:tabs>
        <w:spacing w:line="36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Bioeconomía, Aprovechamiento, Sistemas sociecólogicos, Comunidades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Instituciones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Aptos" w:cs="Aptos" w:eastAsia="Aptos" w:hAnsi="Aptos"/>
        </w:rPr>
      </w:pPr>
      <w:r w:rsidDel="00000000" w:rsidR="00000000" w:rsidRPr="00000000">
        <w:rPr>
          <w:rFonts w:ascii="Aptos" w:cs="Aptos" w:eastAsia="Aptos" w:hAnsi="Aptos"/>
          <w:rtl w:val="0"/>
        </w:rPr>
        <w:t xml:space="preserve">a. Instituto Humboldt.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Salidas gráficas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Aptos" w:cs="Aptos" w:eastAsia="Aptos" w:hAnsi="Aptos"/>
          <w:b w:val="1"/>
        </w:rPr>
      </w:pPr>
      <w:commentRangeStart w:id="0"/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Salida 1 [mapa] Número de especies útiles identificadas en Barranquilla, Montes de María y Becerril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</w:rPr>
        <w:drawing>
          <wp:inline distB="114300" distT="114300" distL="114300" distR="114300">
            <wp:extent cx="5731200" cy="4927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Salida 2 [gráfico]. Especies priorizadas por su potencial de aprovechamiento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Aptos" w:cs="Aptos" w:eastAsia="Aptos" w:hAnsi="Aptos"/>
          <w:color w:val="ff9900"/>
        </w:rPr>
      </w:pPr>
      <w:r w:rsidDel="00000000" w:rsidR="00000000" w:rsidRPr="00000000">
        <w:rPr>
          <w:rFonts w:ascii="Aptos" w:cs="Aptos" w:eastAsia="Aptos" w:hAnsi="Aptos"/>
          <w:color w:val="ff9900"/>
        </w:rPr>
        <w:drawing>
          <wp:inline distB="114300" distT="114300" distL="114300" distR="114300">
            <wp:extent cx="5731200" cy="3886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15.0" w:type="dxa"/>
        <w:jc w:val="left"/>
        <w:tblInd w:w="12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6585"/>
        <w:tblGridChange w:id="0">
          <w:tblGrid>
            <w:gridCol w:w="930"/>
            <w:gridCol w:w="6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</w:rPr>
              <w:drawing>
                <wp:inline distB="114300" distT="114300" distL="114300" distR="114300">
                  <wp:extent cx="114300" cy="123825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23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Especie nativa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</w:rPr>
              <w:drawing>
                <wp:inline distB="114300" distT="114300" distL="114300" distR="114300">
                  <wp:extent cx="85725" cy="114300"/>
                  <wp:effectExtent b="0" l="0" r="0" t="0"/>
                  <wp:docPr id="6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25" cy="114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ptos" w:cs="Aptos" w:eastAsia="Aptos" w:hAnsi="Aptos"/>
              </w:rPr>
            </w:pPr>
            <w:r w:rsidDel="00000000" w:rsidR="00000000" w:rsidRPr="00000000">
              <w:rPr>
                <w:rFonts w:ascii="Aptos" w:cs="Aptos" w:eastAsia="Aptos" w:hAnsi="Aptos"/>
                <w:rtl w:val="0"/>
              </w:rPr>
              <w:t xml:space="preserve">Especie introducida</w:t>
            </w:r>
          </w:p>
        </w:tc>
      </w:tr>
    </w:tbl>
    <w:p w:rsidR="00000000" w:rsidDel="00000000" w:rsidP="00000000" w:rsidRDefault="00000000" w:rsidRPr="00000000" w14:paraId="00000026">
      <w:pPr>
        <w:spacing w:line="36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000.0" w:type="dxa"/>
        <w:jc w:val="left"/>
        <w:tblLayout w:type="fixed"/>
        <w:tblLook w:val="0400"/>
      </w:tblPr>
      <w:tblGrid>
        <w:gridCol w:w="2340"/>
        <w:gridCol w:w="3660"/>
        <w:tblGridChange w:id="0">
          <w:tblGrid>
            <w:gridCol w:w="2340"/>
            <w:gridCol w:w="36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jc w:val="left"/>
              <w:rPr>
                <w:b w:val="1"/>
                <w:color w:val="000000"/>
                <w:sz w:val="16"/>
                <w:szCs w:val="16"/>
              </w:rPr>
            </w:pPr>
            <w:commentRangeStart w:id="1"/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Nombre común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jc w:val="left"/>
              <w:rPr>
                <w:b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Nombre científico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Corozo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Bactris guineensis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Mamón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Melicoccus bijugatus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Jobo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Spondias mombin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Guásimo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Guazuma ulmifolia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Bijao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Calathea lutea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Camajón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Sterculia apetala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Caracolí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Anacardium excelsum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Campano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Samanea saman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Orejero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Enterolobium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cyclocarpum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Algarrobo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Hymenaea courbaril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Bijao de hoja pequeña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Thalia geniculata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Cañandonga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Cassia grandis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Cilantro cimarrón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Eryngium foetidum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Níspero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Manilkara zapota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Batata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Ipomoea batatas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Yuca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Manihot esculenta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Ñame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Dioscorea spp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Plátano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Musa spp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Maíz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Zea maiz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Ají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Capsicum annuum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Matarratón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Gliricidia sepium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Palma amarga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Sabal mauritiformis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Campano o samán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Samanea saman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Vara de humo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Cordia alliodora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line="240" w:lineRule="auto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Totumo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line="240" w:lineRule="auto"/>
              <w:jc w:val="left"/>
              <w:rPr>
                <w:i w:val="1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i w:val="1"/>
                <w:color w:val="000000"/>
                <w:sz w:val="16"/>
                <w:szCs w:val="16"/>
                <w:rtl w:val="0"/>
              </w:rPr>
              <w:t xml:space="preserve">Crescentia cujete</w:t>
            </w:r>
          </w:p>
        </w:tc>
      </w:tr>
    </w:tbl>
    <w:p w:rsidR="00000000" w:rsidDel="00000000" w:rsidP="00000000" w:rsidRDefault="00000000" w:rsidRPr="00000000" w14:paraId="0000005B">
      <w:pPr>
        <w:spacing w:line="36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left"/>
        <w:rPr/>
      </w:pPr>
      <w:commentRangeStart w:id="2"/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Salida 3 [Gráfico]. Tipos de uso de las plantas útiles del Caribe colombiano</w:t>
      </w:r>
      <w:r w:rsidDel="00000000" w:rsidR="00000000" w:rsidRPr="00000000">
        <w:rPr>
          <w:rtl w:val="0"/>
        </w:rPr>
        <w:t xml:space="preserve"> </w:t>
      </w:r>
      <w:commentRangeEnd w:id="2"/>
      <w:r w:rsidDel="00000000" w:rsidR="00000000" w:rsidRPr="00000000">
        <w:commentReference w:id="2"/>
      </w: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Salida 4 [Ilustración]</w:t>
      </w:r>
    </w:p>
    <w:p w:rsidR="00000000" w:rsidDel="00000000" w:rsidP="00000000" w:rsidRDefault="00000000" w:rsidRPr="00000000" w14:paraId="0000005F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Variante 1</w:t>
      </w:r>
    </w:p>
    <w:p w:rsidR="00000000" w:rsidDel="00000000" w:rsidP="00000000" w:rsidRDefault="00000000" w:rsidRPr="00000000" w14:paraId="00000060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left"/>
        <w:rPr>
          <w:rFonts w:ascii="Aptos" w:cs="Aptos" w:eastAsia="Aptos" w:hAnsi="Aptos"/>
          <w:b w:val="1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700838" cy="4870671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0838" cy="4870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Variante 2</w:t>
      </w:r>
    </w:p>
    <w:p w:rsidR="00000000" w:rsidDel="00000000" w:rsidP="00000000" w:rsidRDefault="00000000" w:rsidRPr="00000000" w14:paraId="00000063">
      <w:pPr>
        <w:spacing w:line="276" w:lineRule="auto"/>
        <w:jc w:val="left"/>
        <w:rPr>
          <w:rFonts w:ascii="Aptos" w:cs="Aptos" w:eastAsia="Aptos" w:hAnsi="Aptos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496050" cy="7392367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73923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left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left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left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left"/>
        <w:rPr>
          <w:rFonts w:ascii="Aptos" w:cs="Aptos" w:eastAsia="Aptos" w:hAnsi="Aptos"/>
          <w:highlight w:val="yellow"/>
        </w:rPr>
      </w:pPr>
      <w:r w:rsidDel="00000000" w:rsidR="00000000" w:rsidRPr="00000000">
        <w:rPr>
          <w:rFonts w:ascii="Aptos" w:cs="Aptos" w:eastAsia="Aptos" w:hAnsi="Aptos"/>
          <w:highlight w:val="yellow"/>
          <w:rtl w:val="0"/>
        </w:rPr>
        <w:t xml:space="preserve">[Ícono planta]</w:t>
      </w:r>
    </w:p>
    <w:p w:rsidR="00000000" w:rsidDel="00000000" w:rsidP="00000000" w:rsidRDefault="00000000" w:rsidRPr="00000000" w14:paraId="00000068">
      <w:pPr>
        <w:spacing w:line="360" w:lineRule="auto"/>
        <w:jc w:val="left"/>
        <w:rPr>
          <w:rFonts w:ascii="Aptos" w:cs="Aptos" w:eastAsia="Aptos" w:hAnsi="Aptos"/>
          <w:b w:val="1"/>
        </w:rPr>
      </w:pPr>
      <w:r w:rsidDel="00000000" w:rsidR="00000000" w:rsidRPr="00000000">
        <w:rPr>
          <w:rFonts w:ascii="Aptos" w:cs="Aptos" w:eastAsia="Aptos" w:hAnsi="Aptos"/>
          <w:b w:val="1"/>
          <w:rtl w:val="0"/>
        </w:rPr>
        <w:t xml:space="preserve">Jobo</w:t>
      </w:r>
    </w:p>
    <w:p w:rsidR="00000000" w:rsidDel="00000000" w:rsidP="00000000" w:rsidRDefault="00000000" w:rsidRPr="00000000" w14:paraId="00000069">
      <w:pPr>
        <w:spacing w:line="360" w:lineRule="auto"/>
        <w:jc w:val="left"/>
        <w:rPr>
          <w:rFonts w:ascii="Aptos" w:cs="Aptos" w:eastAsia="Aptos" w:hAnsi="Aptos"/>
          <w:i w:val="1"/>
        </w:rPr>
      </w:pPr>
      <w:r w:rsidDel="00000000" w:rsidR="00000000" w:rsidRPr="00000000">
        <w:rPr>
          <w:rFonts w:ascii="Aptos" w:cs="Aptos" w:eastAsia="Aptos" w:hAnsi="Aptos"/>
          <w:i w:val="1"/>
          <w:rtl w:val="0"/>
        </w:rPr>
        <w:t xml:space="preserve">Spondias mombin</w:t>
      </w:r>
    </w:p>
    <w:p w:rsidR="00000000" w:rsidDel="00000000" w:rsidP="00000000" w:rsidRDefault="00000000" w:rsidRPr="00000000" w14:paraId="0000006A">
      <w:pPr>
        <w:spacing w:line="360" w:lineRule="auto"/>
        <w:jc w:val="left"/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Reporte BIO" w:id="1" w:date="2025-09-11T15:14:07Z"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 es la información para el diagrama. No una salida aparte.</w:t>
      </w:r>
    </w:p>
  </w:comment>
  <w:comment w:author="Reporte BIO" w:id="0" w:date="2025-05-28T21:04:17Z"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mapa de referencia</w:t>
      </w:r>
    </w:p>
  </w:comment>
  <w:comment w:author="Reporte BIO" w:id="2" w:date="2025-05-28T20:39:42Z"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tenemos buen espacio, podemos explorar la versión 2 de esta salida, que tiene la misma información, pero para cada uno de los sitios de estudio. Sería preferible, pero dejo esta como alternativa que sintetiza la información.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jpg"/><Relationship Id="rId12" Type="http://schemas.openxmlformats.org/officeDocument/2006/relationships/image" Target="media/image1.jp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