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line="360" w:lineRule="auto"/>
        <w:jc w:val="both"/>
        <w:rPr>
          <w:rFonts w:ascii="Aptos" w:cs="Aptos" w:eastAsia="Aptos" w:hAnsi="Aptos"/>
          <w:b w:val="1"/>
        </w:rPr>
      </w:pPr>
      <w:r w:rsidDel="00000000" w:rsidR="00000000" w:rsidRPr="00000000">
        <w:rPr>
          <w:rFonts w:ascii="Aptos" w:cs="Aptos" w:eastAsia="Aptos" w:hAnsi="Aptos"/>
          <w:b w:val="1"/>
          <w:sz w:val="40"/>
          <w:szCs w:val="40"/>
          <w:rtl w:val="0"/>
        </w:rPr>
        <w:t xml:space="preserve">107</w:t>
      </w:r>
      <w:r w:rsidDel="00000000" w:rsidR="00000000" w:rsidRPr="00000000">
        <w:rPr>
          <w:rtl w:val="0"/>
        </w:rPr>
      </w:r>
    </w:p>
    <w:p w:rsidR="00000000" w:rsidDel="00000000" w:rsidP="00000000" w:rsidRDefault="00000000" w:rsidRPr="00000000" w14:paraId="00000002">
      <w:pPr>
        <w:spacing w:line="360" w:lineRule="auto"/>
        <w:jc w:val="both"/>
        <w:rPr>
          <w:rFonts w:ascii="Aptos" w:cs="Aptos" w:eastAsia="Aptos" w:hAnsi="Aptos"/>
          <w:b w:val="1"/>
        </w:rPr>
      </w:pPr>
      <w:r w:rsidDel="00000000" w:rsidR="00000000" w:rsidRPr="00000000">
        <w:rPr>
          <w:rFonts w:ascii="Aptos" w:cs="Aptos" w:eastAsia="Aptos" w:hAnsi="Aptos"/>
          <w:b w:val="1"/>
          <w:rtl w:val="0"/>
        </w:rPr>
        <w:t xml:space="preserve">Título</w:t>
      </w:r>
    </w:p>
    <w:p w:rsidR="00000000" w:rsidDel="00000000" w:rsidP="00000000" w:rsidRDefault="00000000" w:rsidRPr="00000000" w14:paraId="00000003">
      <w:pPr>
        <w:spacing w:line="360" w:lineRule="auto"/>
        <w:jc w:val="both"/>
        <w:rPr>
          <w:rFonts w:ascii="Aptos" w:cs="Aptos" w:eastAsia="Aptos" w:hAnsi="Aptos"/>
        </w:rPr>
      </w:pPr>
      <w:r w:rsidDel="00000000" w:rsidR="00000000" w:rsidRPr="00000000">
        <w:rPr>
          <w:rFonts w:ascii="Aptos" w:cs="Aptos" w:eastAsia="Aptos" w:hAnsi="Aptos"/>
          <w:rtl w:val="0"/>
        </w:rPr>
        <w:t xml:space="preserve">Adaptaciones del bosque seco tropical a la sequía</w:t>
      </w:r>
    </w:p>
    <w:p w:rsidR="00000000" w:rsidDel="00000000" w:rsidP="00000000" w:rsidRDefault="00000000" w:rsidRPr="00000000" w14:paraId="00000004">
      <w:pPr>
        <w:spacing w:line="360" w:lineRule="auto"/>
        <w:jc w:val="both"/>
        <w:rPr>
          <w:rFonts w:ascii="Aptos" w:cs="Aptos" w:eastAsia="Aptos" w:hAnsi="Aptos"/>
        </w:rPr>
      </w:pPr>
      <w:r w:rsidDel="00000000" w:rsidR="00000000" w:rsidRPr="00000000">
        <w:rPr>
          <w:rtl w:val="0"/>
        </w:rPr>
      </w:r>
    </w:p>
    <w:p w:rsidR="00000000" w:rsidDel="00000000" w:rsidP="00000000" w:rsidRDefault="00000000" w:rsidRPr="00000000" w14:paraId="00000005">
      <w:pPr>
        <w:spacing w:line="360" w:lineRule="auto"/>
        <w:jc w:val="both"/>
        <w:rPr>
          <w:rFonts w:ascii="Aptos" w:cs="Aptos" w:eastAsia="Aptos" w:hAnsi="Aptos"/>
          <w:b w:val="1"/>
        </w:rPr>
      </w:pPr>
      <w:r w:rsidDel="00000000" w:rsidR="00000000" w:rsidRPr="00000000">
        <w:rPr>
          <w:rFonts w:ascii="Aptos" w:cs="Aptos" w:eastAsia="Aptos" w:hAnsi="Aptos"/>
          <w:b w:val="1"/>
          <w:rtl w:val="0"/>
        </w:rPr>
        <w:t xml:space="preserve">Autores</w:t>
      </w:r>
    </w:p>
    <w:p w:rsidR="00000000" w:rsidDel="00000000" w:rsidP="00000000" w:rsidRDefault="00000000" w:rsidRPr="00000000" w14:paraId="00000006">
      <w:pPr>
        <w:spacing w:line="360" w:lineRule="auto"/>
        <w:jc w:val="both"/>
        <w:rPr>
          <w:rFonts w:ascii="Aptos" w:cs="Aptos" w:eastAsia="Aptos" w:hAnsi="Aptos"/>
        </w:rPr>
      </w:pPr>
      <w:r w:rsidDel="00000000" w:rsidR="00000000" w:rsidRPr="00000000">
        <w:rPr>
          <w:rFonts w:ascii="Aptos" w:cs="Aptos" w:eastAsia="Aptos" w:hAnsi="Aptos"/>
          <w:rtl w:val="0"/>
        </w:rPr>
        <w:t xml:space="preserve">Fabián Garzón-R.</w:t>
      </w:r>
      <w:r w:rsidDel="00000000" w:rsidR="00000000" w:rsidRPr="00000000">
        <w:rPr>
          <w:rFonts w:ascii="Aptos" w:cs="Aptos" w:eastAsia="Aptos" w:hAnsi="Aptos"/>
          <w:highlight w:val="yellow"/>
          <w:vertAlign w:val="superscript"/>
          <w:rtl w:val="0"/>
        </w:rPr>
        <w:t xml:space="preserve">a</w:t>
      </w:r>
      <w:r w:rsidDel="00000000" w:rsidR="00000000" w:rsidRPr="00000000">
        <w:rPr>
          <w:rFonts w:ascii="Aptos" w:cs="Aptos" w:eastAsia="Aptos" w:hAnsi="Aptos"/>
          <w:rtl w:val="0"/>
        </w:rPr>
        <w:t xml:space="preserve">, Viviana Salinas Vargas</w:t>
      </w:r>
      <w:r w:rsidDel="00000000" w:rsidR="00000000" w:rsidRPr="00000000">
        <w:rPr>
          <w:rFonts w:ascii="Aptos" w:cs="Aptos" w:eastAsia="Aptos" w:hAnsi="Aptos"/>
          <w:highlight w:val="yellow"/>
          <w:vertAlign w:val="superscript"/>
          <w:rtl w:val="0"/>
        </w:rPr>
        <w:t xml:space="preserve">a</w:t>
      </w:r>
      <w:r w:rsidDel="00000000" w:rsidR="00000000" w:rsidRPr="00000000">
        <w:rPr>
          <w:rFonts w:ascii="Aptos" w:cs="Aptos" w:eastAsia="Aptos" w:hAnsi="Aptos"/>
          <w:rtl w:val="0"/>
        </w:rPr>
        <w:t xml:space="preserve">, Daniel Hernán García Villalobos</w:t>
      </w:r>
      <w:r w:rsidDel="00000000" w:rsidR="00000000" w:rsidRPr="00000000">
        <w:rPr>
          <w:rFonts w:ascii="Aptos" w:cs="Aptos" w:eastAsia="Aptos" w:hAnsi="Aptos"/>
          <w:highlight w:val="yellow"/>
          <w:vertAlign w:val="superscript"/>
          <w:rtl w:val="0"/>
        </w:rPr>
        <w:t xml:space="preserve">a</w:t>
      </w:r>
      <w:r w:rsidDel="00000000" w:rsidR="00000000" w:rsidRPr="00000000">
        <w:rPr>
          <w:rFonts w:ascii="Aptos" w:cs="Aptos" w:eastAsia="Aptos" w:hAnsi="Aptos"/>
          <w:rtl w:val="0"/>
        </w:rPr>
        <w:t xml:space="preserve">, Sonia Rodríguez</w:t>
      </w:r>
      <w:r w:rsidDel="00000000" w:rsidR="00000000" w:rsidRPr="00000000">
        <w:rPr>
          <w:rFonts w:ascii="Aptos" w:cs="Aptos" w:eastAsia="Aptos" w:hAnsi="Aptos"/>
          <w:highlight w:val="yellow"/>
          <w:vertAlign w:val="superscript"/>
          <w:rtl w:val="0"/>
        </w:rPr>
        <w:t xml:space="preserve">a</w:t>
      </w:r>
      <w:r w:rsidDel="00000000" w:rsidR="00000000" w:rsidRPr="00000000">
        <w:rPr>
          <w:rFonts w:ascii="Aptos" w:cs="Aptos" w:eastAsia="Aptos" w:hAnsi="Aptos"/>
          <w:rtl w:val="0"/>
        </w:rPr>
        <w:t xml:space="preserve">, Jhon Nieto</w:t>
      </w:r>
      <w:r w:rsidDel="00000000" w:rsidR="00000000" w:rsidRPr="00000000">
        <w:rPr>
          <w:rFonts w:ascii="Aptos" w:cs="Aptos" w:eastAsia="Aptos" w:hAnsi="Aptos"/>
          <w:highlight w:val="yellow"/>
          <w:vertAlign w:val="superscript"/>
          <w:rtl w:val="0"/>
        </w:rPr>
        <w:t xml:space="preserve">b</w:t>
      </w:r>
      <w:r w:rsidDel="00000000" w:rsidR="00000000" w:rsidRPr="00000000">
        <w:rPr>
          <w:rFonts w:ascii="Aptos" w:cs="Aptos" w:eastAsia="Aptos" w:hAnsi="Aptos"/>
          <w:rtl w:val="0"/>
        </w:rPr>
        <w:t xml:space="preserve">, Roy González</w:t>
      </w:r>
      <w:r w:rsidDel="00000000" w:rsidR="00000000" w:rsidRPr="00000000">
        <w:rPr>
          <w:rFonts w:ascii="Aptos" w:cs="Aptos" w:eastAsia="Aptos" w:hAnsi="Aptos"/>
          <w:highlight w:val="yellow"/>
          <w:vertAlign w:val="superscript"/>
          <w:rtl w:val="0"/>
        </w:rPr>
        <w:t xml:space="preserve">c</w:t>
      </w:r>
      <w:r w:rsidDel="00000000" w:rsidR="00000000" w:rsidRPr="00000000">
        <w:rPr>
          <w:rFonts w:ascii="Aptos" w:cs="Aptos" w:eastAsia="Aptos" w:hAnsi="Aptos"/>
          <w:rtl w:val="0"/>
        </w:rPr>
        <w:t xml:space="preserve"> y Natalia Norden</w:t>
      </w:r>
      <w:r w:rsidDel="00000000" w:rsidR="00000000" w:rsidRPr="00000000">
        <w:rPr>
          <w:rFonts w:ascii="Aptos" w:cs="Aptos" w:eastAsia="Aptos" w:hAnsi="Aptos"/>
          <w:highlight w:val="yellow"/>
          <w:vertAlign w:val="superscript"/>
          <w:rtl w:val="0"/>
        </w:rPr>
        <w:t xml:space="preserve">a</w:t>
      </w:r>
      <w:r w:rsidDel="00000000" w:rsidR="00000000" w:rsidRPr="00000000">
        <w:rPr>
          <w:rtl w:val="0"/>
        </w:rPr>
      </w:r>
    </w:p>
    <w:p w:rsidR="00000000" w:rsidDel="00000000" w:rsidP="00000000" w:rsidRDefault="00000000" w:rsidRPr="00000000" w14:paraId="00000007">
      <w:pPr>
        <w:spacing w:line="360" w:lineRule="auto"/>
        <w:jc w:val="both"/>
        <w:rPr>
          <w:rFonts w:ascii="Aptos" w:cs="Aptos" w:eastAsia="Aptos" w:hAnsi="Aptos"/>
        </w:rPr>
      </w:pPr>
      <w:r w:rsidDel="00000000" w:rsidR="00000000" w:rsidRPr="00000000">
        <w:rPr>
          <w:rtl w:val="0"/>
        </w:rPr>
      </w:r>
    </w:p>
    <w:p w:rsidR="00000000" w:rsidDel="00000000" w:rsidP="00000000" w:rsidRDefault="00000000" w:rsidRPr="00000000" w14:paraId="00000008">
      <w:pPr>
        <w:spacing w:line="360" w:lineRule="auto"/>
        <w:jc w:val="both"/>
        <w:rPr>
          <w:rFonts w:ascii="Aptos" w:cs="Aptos" w:eastAsia="Aptos" w:hAnsi="Aptos"/>
          <w:b w:val="1"/>
        </w:rPr>
      </w:pPr>
      <w:r w:rsidDel="00000000" w:rsidR="00000000" w:rsidRPr="00000000">
        <w:rPr>
          <w:rFonts w:ascii="Aptos" w:cs="Aptos" w:eastAsia="Aptos" w:hAnsi="Aptos"/>
          <w:b w:val="1"/>
          <w:rtl w:val="0"/>
        </w:rPr>
        <w:t xml:space="preserve">Colaboradores</w:t>
      </w:r>
    </w:p>
    <w:p w:rsidR="00000000" w:rsidDel="00000000" w:rsidP="00000000" w:rsidRDefault="00000000" w:rsidRPr="00000000" w14:paraId="00000009">
      <w:pPr>
        <w:spacing w:line="360" w:lineRule="auto"/>
        <w:jc w:val="both"/>
        <w:rPr>
          <w:rFonts w:ascii="Aptos" w:cs="Aptos" w:eastAsia="Aptos" w:hAnsi="Aptos"/>
        </w:rPr>
      </w:pPr>
      <w:r w:rsidDel="00000000" w:rsidR="00000000" w:rsidRPr="00000000">
        <w:rPr>
          <w:rFonts w:ascii="Aptos" w:cs="Aptos" w:eastAsia="Aptos" w:hAnsi="Aptos"/>
          <w:rtl w:val="0"/>
        </w:rPr>
        <w:t xml:space="preserve">Red de Investigación y Monitoreo del Bosque Seco Tropical en Colombia, Daniel Davila</w:t>
      </w:r>
      <w:r w:rsidDel="00000000" w:rsidR="00000000" w:rsidRPr="00000000">
        <w:rPr>
          <w:rFonts w:ascii="Aptos" w:cs="Aptos" w:eastAsia="Aptos" w:hAnsi="Aptos"/>
          <w:highlight w:val="yellow"/>
          <w:vertAlign w:val="superscript"/>
          <w:rtl w:val="0"/>
        </w:rPr>
        <w:t xml:space="preserve">d</w:t>
      </w:r>
      <w:r w:rsidDel="00000000" w:rsidR="00000000" w:rsidRPr="00000000">
        <w:rPr>
          <w:rFonts w:ascii="Aptos" w:cs="Aptos" w:eastAsia="Aptos" w:hAnsi="Aptos"/>
          <w:rtl w:val="0"/>
        </w:rPr>
        <w:t xml:space="preserve">, Luis Francisco Madriñán</w:t>
      </w:r>
      <w:r w:rsidDel="00000000" w:rsidR="00000000" w:rsidRPr="00000000">
        <w:rPr>
          <w:rFonts w:ascii="Aptos" w:cs="Aptos" w:eastAsia="Aptos" w:hAnsi="Aptos"/>
          <w:highlight w:val="yellow"/>
          <w:vertAlign w:val="superscript"/>
          <w:rtl w:val="0"/>
        </w:rPr>
        <w:t xml:space="preserve">d</w:t>
      </w:r>
      <w:r w:rsidDel="00000000" w:rsidR="00000000" w:rsidRPr="00000000">
        <w:rPr>
          <w:rFonts w:ascii="Aptos" w:cs="Aptos" w:eastAsia="Aptos" w:hAnsi="Aptos"/>
          <w:rtl w:val="0"/>
        </w:rPr>
        <w:t xml:space="preserve"> y Gina Rodríguez</w:t>
      </w:r>
      <w:r w:rsidDel="00000000" w:rsidR="00000000" w:rsidRPr="00000000">
        <w:rPr>
          <w:rFonts w:ascii="Aptos" w:cs="Aptos" w:eastAsia="Aptos" w:hAnsi="Aptos"/>
          <w:highlight w:val="yellow"/>
          <w:vertAlign w:val="superscript"/>
          <w:rtl w:val="0"/>
        </w:rPr>
        <w:t xml:space="preserve">e</w:t>
      </w:r>
      <w:r w:rsidDel="00000000" w:rsidR="00000000" w:rsidRPr="00000000">
        <w:rPr>
          <w:rtl w:val="0"/>
        </w:rPr>
      </w:r>
    </w:p>
    <w:p w:rsidR="00000000" w:rsidDel="00000000" w:rsidP="00000000" w:rsidRDefault="00000000" w:rsidRPr="00000000" w14:paraId="0000000A">
      <w:pPr>
        <w:spacing w:line="360" w:lineRule="auto"/>
        <w:jc w:val="both"/>
        <w:rPr>
          <w:rFonts w:ascii="Aptos" w:cs="Aptos" w:eastAsia="Aptos" w:hAnsi="Aptos"/>
        </w:rPr>
      </w:pPr>
      <w:r w:rsidDel="00000000" w:rsidR="00000000" w:rsidRPr="00000000">
        <w:rPr>
          <w:rtl w:val="0"/>
        </w:rPr>
      </w:r>
    </w:p>
    <w:p w:rsidR="00000000" w:rsidDel="00000000" w:rsidP="00000000" w:rsidRDefault="00000000" w:rsidRPr="00000000" w14:paraId="0000000B">
      <w:pPr>
        <w:spacing w:line="360" w:lineRule="auto"/>
        <w:jc w:val="both"/>
        <w:rPr>
          <w:rFonts w:ascii="Aptos" w:cs="Aptos" w:eastAsia="Aptos" w:hAnsi="Aptos"/>
        </w:rPr>
      </w:pPr>
      <w:r w:rsidDel="00000000" w:rsidR="00000000" w:rsidRPr="00000000">
        <w:rPr>
          <w:rFonts w:ascii="Aptos" w:cs="Aptos" w:eastAsia="Aptos" w:hAnsi="Aptos"/>
          <w:b w:val="1"/>
          <w:rtl w:val="0"/>
        </w:rPr>
        <w:t xml:space="preserve">Destacado</w:t>
      </w:r>
      <w:r w:rsidDel="00000000" w:rsidR="00000000" w:rsidRPr="00000000">
        <w:rPr>
          <w:rtl w:val="0"/>
        </w:rPr>
      </w:r>
    </w:p>
    <w:p w:rsidR="00000000" w:rsidDel="00000000" w:rsidP="00000000" w:rsidRDefault="00000000" w:rsidRPr="00000000" w14:paraId="0000000C">
      <w:pPr>
        <w:spacing w:line="360" w:lineRule="auto"/>
        <w:jc w:val="both"/>
        <w:rPr>
          <w:rFonts w:ascii="Aptos" w:cs="Aptos" w:eastAsia="Aptos" w:hAnsi="Aptos"/>
        </w:rPr>
      </w:pPr>
      <w:r w:rsidDel="00000000" w:rsidR="00000000" w:rsidRPr="00000000">
        <w:rPr>
          <w:rFonts w:ascii="Aptos" w:cs="Aptos" w:eastAsia="Aptos" w:hAnsi="Aptos"/>
          <w:rtl w:val="0"/>
        </w:rPr>
        <w:t xml:space="preserve">La región Caribe cuenta con los mayores fragmentos maduros de bosque seco tropical de Colombia. Comprender la funcionalidad de este ecosistema estratégico y amenazado es fundamental para diseñar planes de restauración y manejo sostenible en la región.</w:t>
      </w:r>
    </w:p>
    <w:p w:rsidR="00000000" w:rsidDel="00000000" w:rsidP="00000000" w:rsidRDefault="00000000" w:rsidRPr="00000000" w14:paraId="0000000D">
      <w:pPr>
        <w:spacing w:line="360" w:lineRule="auto"/>
        <w:jc w:val="both"/>
        <w:rPr>
          <w:rFonts w:ascii="Aptos" w:cs="Aptos" w:eastAsia="Aptos" w:hAnsi="Aptos"/>
        </w:rPr>
      </w:pPr>
      <w:r w:rsidDel="00000000" w:rsidR="00000000" w:rsidRPr="00000000">
        <w:rPr>
          <w:rtl w:val="0"/>
        </w:rPr>
      </w:r>
    </w:p>
    <w:p w:rsidR="00000000" w:rsidDel="00000000" w:rsidP="00000000" w:rsidRDefault="00000000" w:rsidRPr="00000000" w14:paraId="0000000E">
      <w:pPr>
        <w:spacing w:line="360" w:lineRule="auto"/>
        <w:jc w:val="both"/>
        <w:rPr>
          <w:rFonts w:ascii="Aptos" w:cs="Aptos" w:eastAsia="Aptos" w:hAnsi="Aptos"/>
          <w:shd w:fill="ead1dc" w:val="clear"/>
        </w:rPr>
      </w:pPr>
      <w:r w:rsidDel="00000000" w:rsidR="00000000" w:rsidRPr="00000000">
        <w:rPr>
          <w:rFonts w:ascii="Aptos" w:cs="Aptos" w:eastAsia="Aptos" w:hAnsi="Aptos"/>
          <w:b w:val="1"/>
          <w:rtl w:val="0"/>
        </w:rPr>
        <w:t xml:space="preserve">Cuerpo</w:t>
      </w:r>
      <w:r w:rsidDel="00000000" w:rsidR="00000000" w:rsidRPr="00000000">
        <w:rPr>
          <w:rtl w:val="0"/>
        </w:rPr>
      </w:r>
    </w:p>
    <w:p w:rsidR="00000000" w:rsidDel="00000000" w:rsidP="00000000" w:rsidRDefault="00000000" w:rsidRPr="00000000" w14:paraId="0000000F">
      <w:pPr>
        <w:spacing w:line="360" w:lineRule="auto"/>
        <w:jc w:val="both"/>
        <w:rPr>
          <w:rFonts w:ascii="Aptos" w:cs="Aptos" w:eastAsia="Aptos" w:hAnsi="Aptos"/>
        </w:rPr>
      </w:pPr>
      <w:r w:rsidDel="00000000" w:rsidR="00000000" w:rsidRPr="00000000">
        <w:rPr>
          <w:rFonts w:ascii="Aptos" w:cs="Aptos" w:eastAsia="Aptos" w:hAnsi="Aptos"/>
          <w:rtl w:val="0"/>
        </w:rPr>
        <w:t xml:space="preserve">Uno de los ecosistemas más comunes del Caribe colombiano es el </w:t>
      </w:r>
      <w:r w:rsidDel="00000000" w:rsidR="00000000" w:rsidRPr="00000000">
        <w:rPr>
          <w:rFonts w:ascii="Aptos" w:cs="Aptos" w:eastAsia="Aptos" w:hAnsi="Aptos"/>
          <w:b w:val="1"/>
          <w:rtl w:val="0"/>
        </w:rPr>
        <w:t xml:space="preserve">bosque seco tropical</w:t>
      </w:r>
      <w:r w:rsidDel="00000000" w:rsidR="00000000" w:rsidRPr="00000000">
        <w:rPr>
          <w:rFonts w:ascii="Aptos" w:cs="Aptos" w:eastAsia="Aptos" w:hAnsi="Aptos"/>
          <w:highlight w:val="yellow"/>
          <w:vertAlign w:val="superscript"/>
          <w:rtl w:val="0"/>
        </w:rPr>
        <w:t xml:space="preserve">1</w:t>
      </w:r>
      <w:r w:rsidDel="00000000" w:rsidR="00000000" w:rsidRPr="00000000">
        <w:rPr>
          <w:rFonts w:ascii="Aptos" w:cs="Aptos" w:eastAsia="Aptos" w:hAnsi="Aptos"/>
          <w:rtl w:val="0"/>
        </w:rPr>
        <w:t xml:space="preserve">, el cual está críticamente amenazado y es altamente vulnerable al </w:t>
      </w:r>
      <w:r w:rsidDel="00000000" w:rsidR="00000000" w:rsidRPr="00000000">
        <w:rPr>
          <w:rFonts w:ascii="Aptos" w:cs="Aptos" w:eastAsia="Aptos" w:hAnsi="Aptos"/>
          <w:b w:val="1"/>
          <w:rtl w:val="0"/>
        </w:rPr>
        <w:t xml:space="preserve">cambio climático</w:t>
      </w:r>
      <w:r w:rsidDel="00000000" w:rsidR="00000000" w:rsidRPr="00000000">
        <w:rPr>
          <w:rFonts w:ascii="Aptos" w:cs="Aptos" w:eastAsia="Aptos" w:hAnsi="Aptos"/>
          <w:rtl w:val="0"/>
        </w:rPr>
        <w:t xml:space="preserve">. Esta fragilidad se relaciona con la marcada estacionalidad que lo caracteriza, ya que la disponibilidad de agua constituye uno de los principales factores limitantes para el desarrollo de sus comunidades vegetales. En respuesta a las condiciones de sequía, las plantas de estos bosques modifican sus atributos</w:t>
      </w:r>
      <w:r w:rsidDel="00000000" w:rsidR="00000000" w:rsidRPr="00000000">
        <w:rPr>
          <w:rFonts w:ascii="Aptos" w:cs="Aptos" w:eastAsia="Aptos" w:hAnsi="Aptos"/>
          <w:highlight w:val="yellow"/>
          <w:vertAlign w:val="superscript"/>
          <w:rtl w:val="0"/>
        </w:rPr>
        <w:t xml:space="preserve">2-5</w:t>
      </w:r>
      <w:r w:rsidDel="00000000" w:rsidR="00000000" w:rsidRPr="00000000">
        <w:rPr>
          <w:rFonts w:ascii="Aptos" w:cs="Aptos" w:eastAsia="Aptos" w:hAnsi="Aptos"/>
          <w:vertAlign w:val="superscript"/>
          <w:rtl w:val="0"/>
        </w:rPr>
        <w:t xml:space="preserve"> </w:t>
      </w:r>
      <w:r w:rsidDel="00000000" w:rsidR="00000000" w:rsidRPr="00000000">
        <w:rPr>
          <w:rFonts w:ascii="Aptos" w:cs="Aptos" w:eastAsia="Aptos" w:hAnsi="Aptos"/>
          <w:rtl w:val="0"/>
        </w:rPr>
        <w:t xml:space="preserve">y adoptan </w:t>
      </w:r>
      <w:r w:rsidDel="00000000" w:rsidR="00000000" w:rsidRPr="00000000">
        <w:rPr>
          <w:rFonts w:ascii="Aptos" w:cs="Aptos" w:eastAsia="Aptos" w:hAnsi="Aptos"/>
          <w:b w:val="1"/>
          <w:rtl w:val="0"/>
        </w:rPr>
        <w:t xml:space="preserve">estrategias funcionales</w:t>
      </w:r>
      <w:r w:rsidDel="00000000" w:rsidR="00000000" w:rsidRPr="00000000">
        <w:rPr>
          <w:rFonts w:ascii="Aptos" w:cs="Aptos" w:eastAsia="Aptos" w:hAnsi="Aptos"/>
          <w:rtl w:val="0"/>
        </w:rPr>
        <w:t xml:space="preserve"> para garantizar su supervivencia</w:t>
      </w:r>
      <w:r w:rsidDel="00000000" w:rsidR="00000000" w:rsidRPr="00000000">
        <w:rPr>
          <w:rFonts w:ascii="Aptos" w:cs="Aptos" w:eastAsia="Aptos" w:hAnsi="Aptos"/>
          <w:highlight w:val="yellow"/>
          <w:vertAlign w:val="superscript"/>
          <w:rtl w:val="0"/>
        </w:rPr>
        <w:t xml:space="preserve">6,7</w:t>
      </w:r>
      <w:r w:rsidDel="00000000" w:rsidR="00000000" w:rsidRPr="00000000">
        <w:rPr>
          <w:rFonts w:ascii="Aptos" w:cs="Aptos" w:eastAsia="Aptos" w:hAnsi="Aptos"/>
          <w:rtl w:val="0"/>
        </w:rPr>
        <w:t xml:space="preserve">.</w:t>
      </w:r>
    </w:p>
    <w:p w:rsidR="00000000" w:rsidDel="00000000" w:rsidP="00000000" w:rsidRDefault="00000000" w:rsidRPr="00000000" w14:paraId="00000010">
      <w:pPr>
        <w:spacing w:line="360" w:lineRule="auto"/>
        <w:ind w:firstLine="720"/>
        <w:jc w:val="both"/>
        <w:rPr>
          <w:rFonts w:ascii="Aptos" w:cs="Aptos" w:eastAsia="Aptos" w:hAnsi="Aptos"/>
        </w:rPr>
      </w:pPr>
      <w:r w:rsidDel="00000000" w:rsidR="00000000" w:rsidRPr="00000000">
        <w:rPr>
          <w:rFonts w:ascii="Aptos" w:cs="Aptos" w:eastAsia="Aptos" w:hAnsi="Aptos"/>
          <w:rtl w:val="0"/>
        </w:rPr>
        <w:t xml:space="preserve">Una de estas estrategias consiste en el desarrollo de tejidos densos, que ofrecen mayor soporte a las estructuras de transporte de los árboles (como la madera densa) y aumentan la capacidad de almacenamiento, lo cual reduce la pérdida de agua (por ejemplo, mediante hojas gruesas), incrementando la probabilidad de supervivencia durante periodos secos</w:t>
      </w:r>
      <w:r w:rsidDel="00000000" w:rsidR="00000000" w:rsidRPr="00000000">
        <w:rPr>
          <w:rFonts w:ascii="Aptos" w:cs="Aptos" w:eastAsia="Aptos" w:hAnsi="Aptos"/>
          <w:highlight w:val="yellow"/>
          <w:vertAlign w:val="superscript"/>
          <w:rtl w:val="0"/>
        </w:rPr>
        <w:t xml:space="preserve">8</w:t>
      </w:r>
      <w:r w:rsidDel="00000000" w:rsidR="00000000" w:rsidRPr="00000000">
        <w:rPr>
          <w:rFonts w:ascii="Aptos" w:cs="Aptos" w:eastAsia="Aptos" w:hAnsi="Aptos"/>
          <w:rtl w:val="0"/>
        </w:rPr>
        <w:t xml:space="preserve">. Asimismo, para asegurar un flujo constante de agua entre las raíces y las hojas, las plantas construyen tejidos de conducción más resistentes, con vasos conductores estrechos que reducen el riesgo de embolismos (burbujas de aire durante la escasez de agua)</w:t>
      </w:r>
      <w:r w:rsidDel="00000000" w:rsidR="00000000" w:rsidRPr="00000000">
        <w:rPr>
          <w:rFonts w:ascii="Aptos" w:cs="Aptos" w:eastAsia="Aptos" w:hAnsi="Aptos"/>
          <w:highlight w:val="yellow"/>
          <w:vertAlign w:val="superscript"/>
          <w:rtl w:val="0"/>
        </w:rPr>
        <w:t xml:space="preserve">8,9</w:t>
      </w:r>
      <w:r w:rsidDel="00000000" w:rsidR="00000000" w:rsidRPr="00000000">
        <w:rPr>
          <w:rFonts w:ascii="Aptos" w:cs="Aptos" w:eastAsia="Aptos" w:hAnsi="Aptos"/>
          <w:rtl w:val="0"/>
        </w:rPr>
        <w:t xml:space="preserve">. Este tipo de estructuras, sin embargo, requiere altas inversiones de energía, lo cual limita el crecimiento de las plantas</w:t>
      </w:r>
      <w:r w:rsidDel="00000000" w:rsidR="00000000" w:rsidRPr="00000000">
        <w:rPr>
          <w:rFonts w:ascii="Aptos" w:cs="Aptos" w:eastAsia="Aptos" w:hAnsi="Aptos"/>
          <w:highlight w:val="yellow"/>
          <w:vertAlign w:val="superscript"/>
          <w:rtl w:val="0"/>
        </w:rPr>
        <w:t xml:space="preserve">10</w:t>
      </w:r>
      <w:r w:rsidDel="00000000" w:rsidR="00000000" w:rsidRPr="00000000">
        <w:rPr>
          <w:rFonts w:ascii="Aptos" w:cs="Aptos" w:eastAsia="Aptos" w:hAnsi="Aptos"/>
          <w:rtl w:val="0"/>
        </w:rPr>
        <w:t xml:space="preserve">. En contraste, otras especies optan por construir vasos conductores más grandes</w:t>
      </w:r>
      <w:r w:rsidDel="00000000" w:rsidR="00000000" w:rsidRPr="00000000">
        <w:rPr>
          <w:rFonts w:ascii="Aptos" w:cs="Aptos" w:eastAsia="Aptos" w:hAnsi="Aptos"/>
          <w:highlight w:val="yellow"/>
          <w:vertAlign w:val="superscript"/>
          <w:rtl w:val="0"/>
        </w:rPr>
        <w:t xml:space="preserve">11,12</w:t>
      </w:r>
      <w:r w:rsidDel="00000000" w:rsidR="00000000" w:rsidRPr="00000000">
        <w:rPr>
          <w:rFonts w:ascii="Aptos" w:cs="Aptos" w:eastAsia="Aptos" w:hAnsi="Aptos"/>
          <w:rtl w:val="0"/>
        </w:rPr>
        <w:t xml:space="preserve">, una estrategia menos costosa en términos energéticos, que favorece un crecimiento más rápido.</w:t>
      </w:r>
    </w:p>
    <w:p w:rsidR="00000000" w:rsidDel="00000000" w:rsidP="00000000" w:rsidRDefault="00000000" w:rsidRPr="00000000" w14:paraId="00000011">
      <w:pPr>
        <w:spacing w:line="360" w:lineRule="auto"/>
        <w:ind w:firstLine="720"/>
        <w:jc w:val="both"/>
        <w:rPr>
          <w:rFonts w:ascii="Aptos" w:cs="Aptos" w:eastAsia="Aptos" w:hAnsi="Aptos"/>
        </w:rPr>
      </w:pPr>
      <w:r w:rsidDel="00000000" w:rsidR="00000000" w:rsidRPr="00000000">
        <w:rPr>
          <w:rFonts w:ascii="Aptos" w:cs="Aptos" w:eastAsia="Aptos" w:hAnsi="Aptos"/>
          <w:rtl w:val="0"/>
        </w:rPr>
        <w:t xml:space="preserve">El establecimiento y estudio de cuatro parcelas permanentes de vegetación en bosques secos de La Guajira, Bolívar y Magdalena ha permitido avanzar en la comprensión del funcionamiento de estas estrategias. Entre los resultados obtenidos, se aprecia un comportamiento diferencial de las comunidades de árboles de cada región. En algunos bosques, como La Macuira (norte de La Guajira), predominan estrategias funcionales orientadas a un transporte eficiente del agua; mientras que en otros, como Cuchilla Potrosa (sur de La Guajira), predominan estrategias que priorizan un flujo hídrico seguro y constante, aunque a costa de un crecimiento más lento. También se observan diferencias en la inversión de tejidos para resistir las presiones de la sequía en los conductos hidráulicos: mientras algunas </w:t>
      </w:r>
      <w:r w:rsidDel="00000000" w:rsidR="00000000" w:rsidRPr="00000000">
        <w:rPr>
          <w:rFonts w:ascii="Aptos" w:cs="Aptos" w:eastAsia="Aptos" w:hAnsi="Aptos"/>
          <w:b w:val="1"/>
          <w:rtl w:val="0"/>
        </w:rPr>
        <w:t xml:space="preserve">comunidades vegetales</w:t>
      </w:r>
      <w:r w:rsidDel="00000000" w:rsidR="00000000" w:rsidRPr="00000000">
        <w:rPr>
          <w:rFonts w:ascii="Aptos" w:cs="Aptos" w:eastAsia="Aptos" w:hAnsi="Aptos"/>
          <w:rtl w:val="0"/>
        </w:rPr>
        <w:t xml:space="preserve"> invierten más en las hojas (Tayrona), otras lo hacen en la madera (Los Colorados).</w:t>
      </w:r>
    </w:p>
    <w:p w:rsidR="00000000" w:rsidDel="00000000" w:rsidP="00000000" w:rsidRDefault="00000000" w:rsidRPr="00000000" w14:paraId="00000012">
      <w:pPr>
        <w:spacing w:line="360" w:lineRule="auto"/>
        <w:ind w:firstLine="720"/>
        <w:jc w:val="both"/>
        <w:rPr>
          <w:rFonts w:ascii="Aptos" w:cs="Aptos" w:eastAsia="Aptos" w:hAnsi="Aptos"/>
        </w:rPr>
      </w:pPr>
      <w:r w:rsidDel="00000000" w:rsidR="00000000" w:rsidRPr="00000000">
        <w:rPr>
          <w:rFonts w:ascii="Aptos" w:cs="Aptos" w:eastAsia="Aptos" w:hAnsi="Aptos"/>
          <w:rtl w:val="0"/>
        </w:rPr>
        <w:t xml:space="preserve">Comprender la distribución y diversidad de estrategias funcionales utilizadas por las especies arbóreas de los bosques secos para adaptarse a los cambios ambientales permite diseñar planes de </w:t>
      </w:r>
      <w:r w:rsidDel="00000000" w:rsidR="00000000" w:rsidRPr="00000000">
        <w:rPr>
          <w:rFonts w:ascii="Aptos" w:cs="Aptos" w:eastAsia="Aptos" w:hAnsi="Aptos"/>
          <w:b w:val="1"/>
          <w:rtl w:val="0"/>
        </w:rPr>
        <w:t xml:space="preserve">restauración </w:t>
      </w:r>
      <w:r w:rsidDel="00000000" w:rsidR="00000000" w:rsidRPr="00000000">
        <w:rPr>
          <w:rFonts w:ascii="Aptos" w:cs="Aptos" w:eastAsia="Aptos" w:hAnsi="Aptos"/>
          <w:rtl w:val="0"/>
        </w:rPr>
        <w:t xml:space="preserve">basados en la selección de estrategias </w:t>
      </w:r>
      <w:r w:rsidDel="00000000" w:rsidR="00000000" w:rsidRPr="00000000">
        <w:rPr>
          <w:rFonts w:ascii="Aptos" w:cs="Aptos" w:eastAsia="Aptos" w:hAnsi="Aptos"/>
          <w:b w:val="1"/>
          <w:rtl w:val="0"/>
        </w:rPr>
        <w:t xml:space="preserve">adaptativas </w:t>
      </w:r>
      <w:r w:rsidDel="00000000" w:rsidR="00000000" w:rsidRPr="00000000">
        <w:rPr>
          <w:rFonts w:ascii="Aptos" w:cs="Aptos" w:eastAsia="Aptos" w:hAnsi="Aptos"/>
          <w:rtl w:val="0"/>
        </w:rPr>
        <w:t xml:space="preserve">óptimas para condiciones ambientales particulares. Este enfoque abre oportunidades para el manejo sostenible de los bosques secos del Caribe colombiano y la conservación de sus funciones ecológicas únicas.</w:t>
      </w:r>
    </w:p>
    <w:p w:rsidR="00000000" w:rsidDel="00000000" w:rsidP="00000000" w:rsidRDefault="00000000" w:rsidRPr="00000000" w14:paraId="00000013">
      <w:pPr>
        <w:spacing w:line="360" w:lineRule="auto"/>
        <w:jc w:val="both"/>
        <w:rPr>
          <w:rFonts w:ascii="Aptos" w:cs="Aptos" w:eastAsia="Aptos" w:hAnsi="Aptos"/>
        </w:rPr>
      </w:pPr>
      <w:r w:rsidDel="00000000" w:rsidR="00000000" w:rsidRPr="00000000">
        <w:rPr>
          <w:rtl w:val="0"/>
        </w:rPr>
      </w:r>
    </w:p>
    <w:p w:rsidR="00000000" w:rsidDel="00000000" w:rsidP="00000000" w:rsidRDefault="00000000" w:rsidRPr="00000000" w14:paraId="00000014">
      <w:pPr>
        <w:tabs>
          <w:tab w:val="left" w:leader="none" w:pos="0"/>
        </w:tabs>
        <w:spacing w:line="360" w:lineRule="auto"/>
        <w:jc w:val="both"/>
        <w:rPr>
          <w:rFonts w:ascii="Aptos" w:cs="Aptos" w:eastAsia="Aptos" w:hAnsi="Aptos"/>
          <w:b w:val="1"/>
        </w:rPr>
      </w:pPr>
      <w:r w:rsidDel="00000000" w:rsidR="00000000" w:rsidRPr="00000000">
        <w:rPr>
          <w:rFonts w:ascii="Aptos" w:cs="Aptos" w:eastAsia="Aptos" w:hAnsi="Aptos"/>
          <w:b w:val="1"/>
          <w:rtl w:val="0"/>
        </w:rPr>
        <w:t xml:space="preserve">Fichas relacionadas</w:t>
      </w:r>
    </w:p>
    <w:p w:rsidR="00000000" w:rsidDel="00000000" w:rsidP="00000000" w:rsidRDefault="00000000" w:rsidRPr="00000000" w14:paraId="00000015">
      <w:pPr>
        <w:spacing w:line="360" w:lineRule="auto"/>
        <w:jc w:val="both"/>
        <w:rPr>
          <w:rFonts w:ascii="Aptos" w:cs="Aptos" w:eastAsia="Aptos" w:hAnsi="Aptos"/>
        </w:rPr>
      </w:pPr>
      <w:r w:rsidDel="00000000" w:rsidR="00000000" w:rsidRPr="00000000">
        <w:rPr>
          <w:rFonts w:ascii="Aptos" w:cs="Aptos" w:eastAsia="Aptos" w:hAnsi="Aptos"/>
          <w:b w:val="1"/>
          <w:highlight w:val="white"/>
          <w:rtl w:val="0"/>
        </w:rPr>
        <w:t xml:space="preserve">BIO</w:t>
      </w:r>
      <w:r w:rsidDel="00000000" w:rsidR="00000000" w:rsidRPr="00000000">
        <w:rPr>
          <w:rFonts w:ascii="Aptos" w:cs="Aptos" w:eastAsia="Aptos" w:hAnsi="Aptos"/>
          <w:highlight w:val="white"/>
          <w:rtl w:val="0"/>
        </w:rPr>
        <w:t xml:space="preserve"> 2022: 301 | </w:t>
      </w:r>
      <w:r w:rsidDel="00000000" w:rsidR="00000000" w:rsidRPr="00000000">
        <w:rPr>
          <w:rFonts w:ascii="Aptos" w:cs="Aptos" w:eastAsia="Aptos" w:hAnsi="Aptos"/>
          <w:b w:val="1"/>
          <w:highlight w:val="white"/>
          <w:rtl w:val="0"/>
        </w:rPr>
        <w:t xml:space="preserve">BIO </w:t>
      </w:r>
      <w:r w:rsidDel="00000000" w:rsidR="00000000" w:rsidRPr="00000000">
        <w:rPr>
          <w:rFonts w:ascii="Aptos" w:cs="Aptos" w:eastAsia="Aptos" w:hAnsi="Aptos"/>
          <w:highlight w:val="white"/>
          <w:rtl w:val="0"/>
        </w:rPr>
        <w:t xml:space="preserve">2019: 102 | </w:t>
      </w:r>
      <w:r w:rsidDel="00000000" w:rsidR="00000000" w:rsidRPr="00000000">
        <w:rPr>
          <w:rFonts w:ascii="Aptos" w:cs="Aptos" w:eastAsia="Aptos" w:hAnsi="Aptos"/>
          <w:b w:val="1"/>
          <w:highlight w:val="white"/>
          <w:rtl w:val="0"/>
        </w:rPr>
        <w:t xml:space="preserve">BIO </w:t>
      </w:r>
      <w:r w:rsidDel="00000000" w:rsidR="00000000" w:rsidRPr="00000000">
        <w:rPr>
          <w:rFonts w:ascii="Aptos" w:cs="Aptos" w:eastAsia="Aptos" w:hAnsi="Aptos"/>
          <w:highlight w:val="white"/>
          <w:rtl w:val="0"/>
        </w:rPr>
        <w:t xml:space="preserve">2018: 202, 302 | </w:t>
      </w:r>
      <w:r w:rsidDel="00000000" w:rsidR="00000000" w:rsidRPr="00000000">
        <w:rPr>
          <w:rFonts w:ascii="Aptos" w:cs="Aptos" w:eastAsia="Aptos" w:hAnsi="Aptos"/>
          <w:b w:val="1"/>
          <w:highlight w:val="white"/>
          <w:rtl w:val="0"/>
        </w:rPr>
        <w:t xml:space="preserve">BIO </w:t>
      </w:r>
      <w:r w:rsidDel="00000000" w:rsidR="00000000" w:rsidRPr="00000000">
        <w:rPr>
          <w:rFonts w:ascii="Aptos" w:cs="Aptos" w:eastAsia="Aptos" w:hAnsi="Aptos"/>
          <w:highlight w:val="white"/>
          <w:rtl w:val="0"/>
        </w:rPr>
        <w:t xml:space="preserve">2016: 306 | </w:t>
      </w:r>
      <w:r w:rsidDel="00000000" w:rsidR="00000000" w:rsidRPr="00000000">
        <w:rPr>
          <w:rFonts w:ascii="Aptos" w:cs="Aptos" w:eastAsia="Aptos" w:hAnsi="Aptos"/>
          <w:b w:val="1"/>
          <w:highlight w:val="white"/>
          <w:rtl w:val="0"/>
        </w:rPr>
        <w:t xml:space="preserve">BIO </w:t>
      </w:r>
      <w:r w:rsidDel="00000000" w:rsidR="00000000" w:rsidRPr="00000000">
        <w:rPr>
          <w:rFonts w:ascii="Aptos" w:cs="Aptos" w:eastAsia="Aptos" w:hAnsi="Aptos"/>
          <w:highlight w:val="white"/>
          <w:rtl w:val="0"/>
        </w:rPr>
        <w:t xml:space="preserve">2015: 108, 202</w:t>
      </w:r>
      <w:r w:rsidDel="00000000" w:rsidR="00000000" w:rsidRPr="00000000">
        <w:rPr>
          <w:rtl w:val="0"/>
        </w:rPr>
      </w:r>
    </w:p>
    <w:p w:rsidR="00000000" w:rsidDel="00000000" w:rsidP="00000000" w:rsidRDefault="00000000" w:rsidRPr="00000000" w14:paraId="00000016">
      <w:pPr>
        <w:tabs>
          <w:tab w:val="left" w:leader="none" w:pos="0"/>
        </w:tabs>
        <w:spacing w:line="360" w:lineRule="auto"/>
        <w:jc w:val="both"/>
        <w:rPr>
          <w:rFonts w:ascii="Aptos" w:cs="Aptos" w:eastAsia="Aptos" w:hAnsi="Aptos"/>
        </w:rPr>
      </w:pPr>
      <w:r w:rsidDel="00000000" w:rsidR="00000000" w:rsidRPr="00000000">
        <w:rPr>
          <w:rtl w:val="0"/>
        </w:rPr>
      </w:r>
    </w:p>
    <w:p w:rsidR="00000000" w:rsidDel="00000000" w:rsidP="00000000" w:rsidRDefault="00000000" w:rsidRPr="00000000" w14:paraId="00000017">
      <w:pPr>
        <w:tabs>
          <w:tab w:val="left" w:leader="none" w:pos="0"/>
        </w:tabs>
        <w:spacing w:line="360" w:lineRule="auto"/>
        <w:jc w:val="both"/>
        <w:rPr>
          <w:rFonts w:ascii="Aptos" w:cs="Aptos" w:eastAsia="Aptos" w:hAnsi="Aptos"/>
          <w:b w:val="1"/>
        </w:rPr>
      </w:pPr>
      <w:r w:rsidDel="00000000" w:rsidR="00000000" w:rsidRPr="00000000">
        <w:rPr>
          <w:rFonts w:ascii="Aptos" w:cs="Aptos" w:eastAsia="Aptos" w:hAnsi="Aptos"/>
          <w:b w:val="1"/>
          <w:rtl w:val="0"/>
        </w:rPr>
        <w:t xml:space="preserve">Temáticas</w:t>
      </w:r>
    </w:p>
    <w:p w:rsidR="00000000" w:rsidDel="00000000" w:rsidP="00000000" w:rsidRDefault="00000000" w:rsidRPr="00000000" w14:paraId="00000018">
      <w:pPr>
        <w:tabs>
          <w:tab w:val="left" w:leader="none" w:pos="0"/>
        </w:tabs>
        <w:spacing w:line="360" w:lineRule="auto"/>
        <w:jc w:val="both"/>
        <w:rPr>
          <w:rFonts w:ascii="Aptos" w:cs="Aptos" w:eastAsia="Aptos" w:hAnsi="Aptos"/>
        </w:rPr>
      </w:pPr>
      <w:r w:rsidDel="00000000" w:rsidR="00000000" w:rsidRPr="00000000">
        <w:rPr>
          <w:rFonts w:ascii="Aptos" w:cs="Aptos" w:eastAsia="Aptos" w:hAnsi="Aptos"/>
          <w:rtl w:val="0"/>
        </w:rPr>
        <w:t xml:space="preserve">Bosque seco, Diversidad biológica, Tendencia, Restauración</w:t>
      </w:r>
    </w:p>
    <w:p w:rsidR="00000000" w:rsidDel="00000000" w:rsidP="00000000" w:rsidRDefault="00000000" w:rsidRPr="00000000" w14:paraId="00000019">
      <w:pPr>
        <w:spacing w:line="360" w:lineRule="auto"/>
        <w:jc w:val="both"/>
        <w:rPr>
          <w:rFonts w:ascii="Aptos" w:cs="Aptos" w:eastAsia="Aptos" w:hAnsi="Aptos"/>
        </w:rPr>
      </w:pPr>
      <w:r w:rsidDel="00000000" w:rsidR="00000000" w:rsidRPr="00000000">
        <w:rPr>
          <w:rtl w:val="0"/>
        </w:rPr>
      </w:r>
    </w:p>
    <w:p w:rsidR="00000000" w:rsidDel="00000000" w:rsidP="00000000" w:rsidRDefault="00000000" w:rsidRPr="00000000" w14:paraId="0000001A">
      <w:pPr>
        <w:spacing w:line="360" w:lineRule="auto"/>
        <w:jc w:val="both"/>
        <w:rPr>
          <w:rFonts w:ascii="Aptos" w:cs="Aptos" w:eastAsia="Aptos" w:hAnsi="Aptos"/>
        </w:rPr>
      </w:pPr>
      <w:r w:rsidDel="00000000" w:rsidR="00000000" w:rsidRPr="00000000">
        <w:rPr>
          <w:rFonts w:ascii="Aptos" w:cs="Aptos" w:eastAsia="Aptos" w:hAnsi="Aptos"/>
          <w:b w:val="1"/>
          <w:rtl w:val="0"/>
        </w:rPr>
        <w:t xml:space="preserve">Instituciones</w:t>
      </w:r>
      <w:r w:rsidDel="00000000" w:rsidR="00000000" w:rsidRPr="00000000">
        <w:rPr>
          <w:rtl w:val="0"/>
        </w:rPr>
      </w:r>
    </w:p>
    <w:p w:rsidR="00000000" w:rsidDel="00000000" w:rsidP="00000000" w:rsidRDefault="00000000" w:rsidRPr="00000000" w14:paraId="0000001B">
      <w:pPr>
        <w:spacing w:line="360" w:lineRule="auto"/>
        <w:jc w:val="both"/>
        <w:rPr>
          <w:rFonts w:ascii="Aptos" w:cs="Aptos" w:eastAsia="Aptos" w:hAnsi="Aptos"/>
        </w:rPr>
      </w:pPr>
      <w:r w:rsidDel="00000000" w:rsidR="00000000" w:rsidRPr="00000000">
        <w:rPr>
          <w:rFonts w:ascii="Aptos" w:cs="Aptos" w:eastAsia="Aptos" w:hAnsi="Aptos"/>
          <w:rtl w:val="0"/>
        </w:rPr>
        <w:t xml:space="preserve">a. Instituto Humboldt; b. IDEAM; c. Universidad del Tolima; d. Cerrejón; e. Fundación Ecosistemas Secos de Colombia.</w:t>
      </w:r>
      <w:r w:rsidDel="00000000" w:rsidR="00000000" w:rsidRPr="00000000">
        <w:rPr>
          <w:rtl w:val="0"/>
        </w:rPr>
      </w:r>
    </w:p>
    <w:p w:rsidR="00000000" w:rsidDel="00000000" w:rsidP="00000000" w:rsidRDefault="00000000" w:rsidRPr="00000000" w14:paraId="0000001C">
      <w:pPr>
        <w:spacing w:line="360" w:lineRule="auto"/>
        <w:jc w:val="both"/>
        <w:rPr>
          <w:rFonts w:ascii="Aptos" w:cs="Aptos" w:eastAsia="Aptos" w:hAnsi="Aptos"/>
          <w:b w:val="1"/>
        </w:rPr>
      </w:pPr>
      <w:r w:rsidDel="00000000" w:rsidR="00000000" w:rsidRPr="00000000">
        <w:rPr>
          <w:rtl w:val="0"/>
        </w:rPr>
      </w:r>
    </w:p>
    <w:p w:rsidR="00000000" w:rsidDel="00000000" w:rsidP="00000000" w:rsidRDefault="00000000" w:rsidRPr="00000000" w14:paraId="0000001D">
      <w:pPr>
        <w:spacing w:line="360" w:lineRule="auto"/>
        <w:jc w:val="both"/>
        <w:rPr>
          <w:rFonts w:ascii="Aptos" w:cs="Aptos" w:eastAsia="Aptos" w:hAnsi="Aptos"/>
          <w:b w:val="1"/>
        </w:rPr>
      </w:pPr>
      <w:r w:rsidDel="00000000" w:rsidR="00000000" w:rsidRPr="00000000">
        <w:rPr>
          <w:rFonts w:ascii="Aptos" w:cs="Aptos" w:eastAsia="Aptos" w:hAnsi="Aptos"/>
          <w:b w:val="1"/>
          <w:rtl w:val="0"/>
        </w:rPr>
        <w:t xml:space="preserve">Salidas gráficas</w:t>
      </w:r>
    </w:p>
    <w:p w:rsidR="00000000" w:rsidDel="00000000" w:rsidP="00000000" w:rsidRDefault="00000000" w:rsidRPr="00000000" w14:paraId="0000001E">
      <w:pPr>
        <w:spacing w:line="360" w:lineRule="auto"/>
        <w:jc w:val="both"/>
        <w:rPr>
          <w:rFonts w:ascii="Aptos" w:cs="Aptos" w:eastAsia="Aptos" w:hAnsi="Aptos"/>
          <w:b w:val="1"/>
        </w:rPr>
      </w:pPr>
      <w:r w:rsidDel="00000000" w:rsidR="00000000" w:rsidRPr="00000000">
        <w:rPr>
          <w:rtl w:val="0"/>
        </w:rPr>
      </w:r>
    </w:p>
    <w:p w:rsidR="00000000" w:rsidDel="00000000" w:rsidP="00000000" w:rsidRDefault="00000000" w:rsidRPr="00000000" w14:paraId="0000001F">
      <w:pPr>
        <w:spacing w:line="360" w:lineRule="auto"/>
        <w:jc w:val="both"/>
        <w:rPr>
          <w:rFonts w:ascii="Aptos" w:cs="Aptos" w:eastAsia="Aptos" w:hAnsi="Aptos"/>
          <w:b w:val="1"/>
        </w:rPr>
      </w:pPr>
      <w:r w:rsidDel="00000000" w:rsidR="00000000" w:rsidRPr="00000000">
        <w:rPr>
          <w:rFonts w:ascii="Aptos" w:cs="Aptos" w:eastAsia="Aptos" w:hAnsi="Aptos"/>
          <w:b w:val="1"/>
          <w:rtl w:val="0"/>
        </w:rPr>
        <w:t xml:space="preserve">Salida 1 [mapa]. Número de especies identificadas en parcelas permanentes de bosque seco tropical</w:t>
      </w:r>
    </w:p>
    <w:p w:rsidR="00000000" w:rsidDel="00000000" w:rsidP="00000000" w:rsidRDefault="00000000" w:rsidRPr="00000000" w14:paraId="00000020">
      <w:pPr>
        <w:spacing w:line="360" w:lineRule="auto"/>
        <w:jc w:val="both"/>
        <w:rPr>
          <w:rFonts w:ascii="Aptos" w:cs="Aptos" w:eastAsia="Aptos" w:hAnsi="Aptos"/>
        </w:rPr>
      </w:pPr>
      <w:r w:rsidDel="00000000" w:rsidR="00000000" w:rsidRPr="00000000">
        <w:rPr>
          <w:rFonts w:ascii="Aptos" w:cs="Aptos" w:eastAsia="Aptos" w:hAnsi="Aptos"/>
        </w:rPr>
        <w:drawing>
          <wp:inline distB="114300" distT="114300" distL="114300" distR="114300">
            <wp:extent cx="5731200" cy="471170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4711700"/>
                    </a:xfrm>
                    <a:prstGeom prst="rect"/>
                    <a:ln/>
                  </pic:spPr>
                </pic:pic>
              </a:graphicData>
            </a:graphic>
          </wp:inline>
        </w:drawing>
      </w:r>
      <w:r w:rsidDel="00000000" w:rsidR="00000000" w:rsidRPr="00000000">
        <w:rPr>
          <w:rtl w:val="0"/>
        </w:rPr>
      </w:r>
    </w:p>
    <w:tbl>
      <w:tblPr>
        <w:tblStyle w:val="Table1"/>
        <w:tblW w:w="34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625"/>
        <w:tblGridChange w:id="0">
          <w:tblGrid>
            <w:gridCol w:w="810"/>
            <w:gridCol w:w="26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rPr>
            </w:pPr>
            <w:r w:rsidDel="00000000" w:rsidR="00000000" w:rsidRPr="00000000">
              <w:rPr>
                <w:rFonts w:ascii="Aptos" w:cs="Aptos" w:eastAsia="Aptos" w:hAnsi="Aptos"/>
              </w:rPr>
              <w:drawing>
                <wp:inline distB="114300" distT="114300" distL="114300" distR="114300">
                  <wp:extent cx="104775" cy="104775"/>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04775" cy="1047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rPr>
            </w:pPr>
            <w:r w:rsidDel="00000000" w:rsidR="00000000" w:rsidRPr="00000000">
              <w:rPr>
                <w:rFonts w:ascii="Aptos" w:cs="Aptos" w:eastAsia="Aptos" w:hAnsi="Aptos"/>
                <w:rtl w:val="0"/>
              </w:rPr>
              <w:t xml:space="preserve">Bosque seco tropical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rPr>
            </w:pPr>
            <w:r w:rsidDel="00000000" w:rsidR="00000000" w:rsidRPr="00000000">
              <w:rPr>
                <w:rFonts w:ascii="Aptos" w:cs="Aptos" w:eastAsia="Aptos" w:hAnsi="Aptos"/>
              </w:rPr>
              <w:drawing>
                <wp:inline distB="114300" distT="114300" distL="114300" distR="114300">
                  <wp:extent cx="95250" cy="104775"/>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95250" cy="1047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rPr>
            </w:pPr>
            <w:r w:rsidDel="00000000" w:rsidR="00000000" w:rsidRPr="00000000">
              <w:rPr>
                <w:rFonts w:ascii="Aptos" w:cs="Aptos" w:eastAsia="Aptos" w:hAnsi="Aptos"/>
                <w:rtl w:val="0"/>
              </w:rPr>
              <w:t xml:space="preserve">Parcela permanente</w:t>
            </w:r>
          </w:p>
        </w:tc>
      </w:tr>
    </w:tbl>
    <w:p w:rsidR="00000000" w:rsidDel="00000000" w:rsidP="00000000" w:rsidRDefault="00000000" w:rsidRPr="00000000" w14:paraId="00000025">
      <w:pPr>
        <w:spacing w:line="360" w:lineRule="auto"/>
        <w:jc w:val="both"/>
        <w:rPr>
          <w:rFonts w:ascii="Aptos" w:cs="Aptos" w:eastAsia="Aptos" w:hAnsi="Aptos"/>
          <w:b w:val="1"/>
        </w:rPr>
      </w:pPr>
      <w:r w:rsidDel="00000000" w:rsidR="00000000" w:rsidRPr="00000000">
        <w:rPr>
          <w:rtl w:val="0"/>
        </w:rPr>
      </w:r>
    </w:p>
    <w:p w:rsidR="00000000" w:rsidDel="00000000" w:rsidP="00000000" w:rsidRDefault="00000000" w:rsidRPr="00000000" w14:paraId="00000026">
      <w:pPr>
        <w:spacing w:line="360" w:lineRule="auto"/>
        <w:jc w:val="both"/>
        <w:rPr>
          <w:rFonts w:ascii="Aptos" w:cs="Aptos" w:eastAsia="Aptos" w:hAnsi="Aptos"/>
          <w:b w:val="1"/>
        </w:rPr>
      </w:pPr>
      <w:r w:rsidDel="00000000" w:rsidR="00000000" w:rsidRPr="00000000">
        <w:rPr>
          <w:rFonts w:ascii="Aptos" w:cs="Aptos" w:eastAsia="Aptos" w:hAnsi="Aptos"/>
          <w:b w:val="1"/>
          <w:rtl w:val="0"/>
        </w:rPr>
        <w:t xml:space="preserve">Salida 2 [gráfico]. Comportamiento de las estrategias funcionales en las parcelas evaluadas</w:t>
      </w:r>
    </w:p>
    <w:p w:rsidR="00000000" w:rsidDel="00000000" w:rsidP="00000000" w:rsidRDefault="00000000" w:rsidRPr="00000000" w14:paraId="00000027">
      <w:pPr>
        <w:spacing w:line="360" w:lineRule="auto"/>
        <w:jc w:val="both"/>
        <w:rPr>
          <w:rFonts w:ascii="Aptos" w:cs="Aptos" w:eastAsia="Aptos" w:hAnsi="Aptos"/>
        </w:rPr>
      </w:pPr>
      <w:r w:rsidDel="00000000" w:rsidR="00000000" w:rsidRPr="00000000">
        <w:rPr>
          <w:rFonts w:ascii="Aptos" w:cs="Aptos" w:eastAsia="Aptos" w:hAnsi="Aptos"/>
        </w:rPr>
        <w:drawing>
          <wp:inline distB="0" distT="0" distL="0" distR="0">
            <wp:extent cx="5733415" cy="4019550"/>
            <wp:effectExtent b="0" l="0" r="0" t="0"/>
            <wp:docPr descr="A diagram of a diagram&#10;&#10;AI-generated content may be incorrect." id="7" name="image3.png"/>
            <a:graphic>
              <a:graphicData uri="http://schemas.openxmlformats.org/drawingml/2006/picture">
                <pic:pic>
                  <pic:nvPicPr>
                    <pic:cNvPr descr="A diagram of a diagram&#10;&#10;AI-generated content may be incorrect." id="0" name="image3.png"/>
                    <pic:cNvPicPr preferRelativeResize="0"/>
                  </pic:nvPicPr>
                  <pic:blipFill>
                    <a:blip r:embed="rId9"/>
                    <a:srcRect b="0" l="0" r="0" t="0"/>
                    <a:stretch>
                      <a:fillRect/>
                    </a:stretch>
                  </pic:blipFill>
                  <pic:spPr>
                    <a:xfrm>
                      <a:off x="0" y="0"/>
                      <a:ext cx="5733415"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360" w:lineRule="auto"/>
        <w:jc w:val="both"/>
        <w:rPr>
          <w:rFonts w:ascii="Aptos" w:cs="Aptos" w:eastAsia="Aptos" w:hAnsi="Aptos"/>
          <w:b w:val="1"/>
        </w:rPr>
      </w:pPr>
      <w:r w:rsidDel="00000000" w:rsidR="00000000" w:rsidRPr="00000000">
        <w:rPr>
          <w:rtl w:val="0"/>
        </w:rPr>
      </w:r>
    </w:p>
    <w:p w:rsidR="00000000" w:rsidDel="00000000" w:rsidP="00000000" w:rsidRDefault="00000000" w:rsidRPr="00000000" w14:paraId="00000029">
      <w:pPr>
        <w:spacing w:line="360" w:lineRule="auto"/>
        <w:jc w:val="both"/>
        <w:rPr>
          <w:rFonts w:ascii="Aptos" w:cs="Aptos" w:eastAsia="Aptos" w:hAnsi="Aptos"/>
          <w:b w:val="1"/>
        </w:rPr>
      </w:pPr>
      <w:r w:rsidDel="00000000" w:rsidR="00000000" w:rsidRPr="00000000">
        <w:rPr>
          <w:rFonts w:ascii="Aptos" w:cs="Aptos" w:eastAsia="Aptos" w:hAnsi="Aptos"/>
          <w:b w:val="1"/>
          <w:rtl w:val="0"/>
        </w:rPr>
        <w:t xml:space="preserve">Salida 3 [gráfico]. Riqueza funcional de las comunidades y riqueza taxonómica</w:t>
      </w:r>
    </w:p>
    <w:p w:rsidR="00000000" w:rsidDel="00000000" w:rsidP="00000000" w:rsidRDefault="00000000" w:rsidRPr="00000000" w14:paraId="0000002A">
      <w:pPr>
        <w:spacing w:line="360" w:lineRule="auto"/>
        <w:jc w:val="both"/>
        <w:rPr>
          <w:rFonts w:ascii="Aptos" w:cs="Aptos" w:eastAsia="Aptos" w:hAnsi="Aptos"/>
        </w:rPr>
      </w:pPr>
      <w:r w:rsidDel="00000000" w:rsidR="00000000" w:rsidRPr="00000000">
        <w:rPr>
          <w:rFonts w:ascii="Aptos" w:cs="Aptos" w:eastAsia="Aptos" w:hAnsi="Aptos"/>
        </w:rPr>
        <w:drawing>
          <wp:inline distB="0" distT="0" distL="0" distR="0">
            <wp:extent cx="5733415" cy="3950970"/>
            <wp:effectExtent b="0" l="0" r="0" t="0"/>
            <wp:docPr descr="A white grid with orange dots&#10;&#10;AI-generated content may be incorrect." id="5" name="image5.png"/>
            <a:graphic>
              <a:graphicData uri="http://schemas.openxmlformats.org/drawingml/2006/picture">
                <pic:pic>
                  <pic:nvPicPr>
                    <pic:cNvPr descr="A white grid with orange dots&#10;&#10;AI-generated content may be incorrect." id="0" name="image5.png"/>
                    <pic:cNvPicPr preferRelativeResize="0"/>
                  </pic:nvPicPr>
                  <pic:blipFill>
                    <a:blip r:embed="rId10"/>
                    <a:srcRect b="0" l="0" r="0" t="0"/>
                    <a:stretch>
                      <a:fillRect/>
                    </a:stretch>
                  </pic:blipFill>
                  <pic:spPr>
                    <a:xfrm>
                      <a:off x="0" y="0"/>
                      <a:ext cx="5733415" cy="395097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360" w:lineRule="auto"/>
        <w:jc w:val="both"/>
        <w:rPr>
          <w:rFonts w:ascii="Aptos" w:cs="Aptos" w:eastAsia="Aptos" w:hAnsi="Aptos"/>
        </w:rPr>
      </w:pPr>
      <w:r w:rsidDel="00000000" w:rsidR="00000000" w:rsidRPr="00000000">
        <w:rPr>
          <w:rFonts w:ascii="Aptos" w:cs="Aptos" w:eastAsia="Aptos" w:hAnsi="Aptos"/>
          <w:rtl w:val="0"/>
        </w:rPr>
        <w:t xml:space="preserve">Texto: La riqueza funcional se entiende como la variedad de estrategias ecológicas utilizadas por las especies para sobrevivir, desarrollarse y responder a perturbaciones ambientales. Tener muchas especies no implica tener una riqueza funcional alta, como revela el contraste entre las parcelas de Cuchilla Potrosa (muchas especies, pocas estrategias) y Macuira (pocas especies, muchas estrategias).</w:t>
      </w:r>
    </w:p>
    <w:p w:rsidR="00000000" w:rsidDel="00000000" w:rsidP="00000000" w:rsidRDefault="00000000" w:rsidRPr="00000000" w14:paraId="0000002C">
      <w:pPr>
        <w:spacing w:line="360" w:lineRule="auto"/>
        <w:jc w:val="both"/>
        <w:rPr>
          <w:rFonts w:ascii="Aptos" w:cs="Aptos" w:eastAsia="Aptos" w:hAnsi="Aptos"/>
          <w:b w:val="1"/>
        </w:rPr>
      </w:pPr>
      <w:r w:rsidDel="00000000" w:rsidR="00000000" w:rsidRPr="00000000">
        <w:rPr>
          <w:rtl w:val="0"/>
        </w:rPr>
      </w:r>
    </w:p>
    <w:p w:rsidR="00000000" w:rsidDel="00000000" w:rsidP="00000000" w:rsidRDefault="00000000" w:rsidRPr="00000000" w14:paraId="0000002D">
      <w:pPr>
        <w:spacing w:line="360" w:lineRule="auto"/>
        <w:jc w:val="both"/>
        <w:rPr>
          <w:rFonts w:ascii="Aptos" w:cs="Aptos" w:eastAsia="Aptos" w:hAnsi="Aptos"/>
          <w:b w:val="1"/>
        </w:rPr>
      </w:pPr>
      <w:r w:rsidDel="00000000" w:rsidR="00000000" w:rsidRPr="00000000">
        <w:rPr>
          <w:rFonts w:ascii="Aptos" w:cs="Aptos" w:eastAsia="Aptos" w:hAnsi="Aptos"/>
          <w:b w:val="1"/>
          <w:rtl w:val="0"/>
        </w:rPr>
        <w:t xml:space="preserve">Salida 4 [ilustración].</w:t>
      </w:r>
    </w:p>
    <w:p w:rsidR="00000000" w:rsidDel="00000000" w:rsidP="00000000" w:rsidRDefault="00000000" w:rsidRPr="00000000" w14:paraId="0000002E">
      <w:pPr>
        <w:spacing w:line="276" w:lineRule="auto"/>
        <w:rPr>
          <w:sz w:val="24"/>
          <w:szCs w:val="24"/>
        </w:rPr>
      </w:pPr>
      <w:r w:rsidDel="00000000" w:rsidR="00000000" w:rsidRPr="00000000">
        <w:rPr>
          <w:sz w:val="24"/>
          <w:szCs w:val="24"/>
        </w:rPr>
        <w:drawing>
          <wp:inline distB="114300" distT="114300" distL="114300" distR="114300">
            <wp:extent cx="6596063" cy="4794513"/>
            <wp:effectExtent b="0" l="0" r="0" t="0"/>
            <wp:docPr id="2"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6596063" cy="479451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276" w:lineRule="auto"/>
        <w:rPr>
          <w:sz w:val="24"/>
          <w:szCs w:val="24"/>
        </w:rPr>
      </w:pPr>
      <w:r w:rsidDel="00000000" w:rsidR="00000000" w:rsidRPr="00000000">
        <w:rPr>
          <w:rtl w:val="0"/>
        </w:rPr>
      </w:r>
    </w:p>
    <w:p w:rsidR="00000000" w:rsidDel="00000000" w:rsidP="00000000" w:rsidRDefault="00000000" w:rsidRPr="00000000" w14:paraId="00000030">
      <w:pPr>
        <w:spacing w:line="360" w:lineRule="auto"/>
        <w:jc w:val="both"/>
        <w:rPr>
          <w:rFonts w:ascii="Aptos" w:cs="Aptos" w:eastAsia="Aptos" w:hAnsi="Aptos"/>
        </w:rPr>
      </w:pPr>
      <w:r w:rsidDel="00000000" w:rsidR="00000000" w:rsidRPr="00000000">
        <w:rPr>
          <w:rFonts w:ascii="Aptos" w:cs="Aptos" w:eastAsia="Aptos" w:hAnsi="Aptos"/>
          <w:rtl w:val="0"/>
        </w:rPr>
        <w:t xml:space="preserve">Texto: </w:t>
      </w:r>
      <w:r w:rsidDel="00000000" w:rsidR="00000000" w:rsidRPr="00000000">
        <w:rPr>
          <w:rFonts w:ascii="Aptos" w:cs="Aptos" w:eastAsia="Aptos" w:hAnsi="Aptos"/>
          <w:i w:val="1"/>
          <w:rtl w:val="0"/>
        </w:rPr>
        <w:t xml:space="preserve">Aspidosperma polyneuron</w:t>
      </w:r>
      <w:r w:rsidDel="00000000" w:rsidR="00000000" w:rsidRPr="00000000">
        <w:rPr>
          <w:rFonts w:ascii="Aptos" w:cs="Aptos" w:eastAsia="Aptos" w:hAnsi="Aptos"/>
          <w:rtl w:val="0"/>
        </w:rPr>
        <w:t xml:space="preserve">, también conocido como carreto, es un árbol nativo de Sudamérica que habita el bosque seco tropical. Para adaptarse a las sequías, esta especie modifica funcionalmente la estructura de su madera mediante la formación de tejidos densos y vasos conductores estrechos. Estas características aumentan la resistencia al colapso hidráulico (como embolismos), permitiendo un transporte de agua más seguro bajo condiciones de escasez hídrica.</w:t>
      </w:r>
    </w:p>
    <w:p w:rsidR="00000000" w:rsidDel="00000000" w:rsidP="00000000" w:rsidRDefault="00000000" w:rsidRPr="00000000" w14:paraId="00000031">
      <w:pPr>
        <w:spacing w:line="360" w:lineRule="auto"/>
        <w:jc w:val="both"/>
        <w:rPr>
          <w:rFonts w:ascii="Aptos" w:cs="Aptos" w:eastAsia="Aptos" w:hAnsi="Aptos"/>
        </w:rPr>
      </w:pPr>
      <w:r w:rsidDel="00000000" w:rsidR="00000000" w:rsidRPr="00000000">
        <w:rPr>
          <w:rtl w:val="0"/>
        </w:rPr>
      </w:r>
    </w:p>
    <w:p w:rsidR="00000000" w:rsidDel="00000000" w:rsidP="00000000" w:rsidRDefault="00000000" w:rsidRPr="00000000" w14:paraId="00000032">
      <w:pPr>
        <w:spacing w:line="360" w:lineRule="auto"/>
        <w:jc w:val="both"/>
        <w:rPr>
          <w:rFonts w:ascii="Aptos" w:cs="Aptos" w:eastAsia="Aptos" w:hAnsi="Aptos"/>
        </w:rPr>
      </w:pPr>
      <w:r w:rsidDel="00000000" w:rsidR="00000000" w:rsidRPr="00000000">
        <w:rPr>
          <w:rFonts w:ascii="Aptos" w:cs="Aptos" w:eastAsia="Aptos" w:hAnsi="Aptos"/>
          <w:rtl w:val="0"/>
        </w:rPr>
        <w:t xml:space="preserve">REF:</w:t>
      </w:r>
    </w:p>
    <w:p w:rsidR="00000000" w:rsidDel="00000000" w:rsidP="00000000" w:rsidRDefault="00000000" w:rsidRPr="00000000" w14:paraId="00000033">
      <w:pPr>
        <w:spacing w:line="276" w:lineRule="auto"/>
        <w:rPr>
          <w:sz w:val="24"/>
          <w:szCs w:val="24"/>
        </w:rPr>
      </w:pPr>
      <w:r w:rsidDel="00000000" w:rsidR="00000000" w:rsidRPr="00000000">
        <w:rPr>
          <w:rtl w:val="0"/>
        </w:rPr>
      </w:r>
    </w:p>
    <w:p w:rsidR="00000000" w:rsidDel="00000000" w:rsidP="00000000" w:rsidRDefault="00000000" w:rsidRPr="00000000" w14:paraId="00000034">
      <w:pPr>
        <w:spacing w:line="360" w:lineRule="auto"/>
        <w:jc w:val="both"/>
        <w:rPr>
          <w:rFonts w:ascii="Aptos" w:cs="Aptos" w:eastAsia="Aptos" w:hAnsi="Aptos"/>
        </w:rPr>
      </w:pPr>
      <w:r w:rsidDel="00000000" w:rsidR="00000000" w:rsidRPr="00000000">
        <w:rPr>
          <w:rFonts w:ascii="Aptos" w:cs="Aptos" w:eastAsia="Aptos" w:hAnsi="Aptos"/>
        </w:rPr>
        <w:drawing>
          <wp:inline distB="114300" distT="114300" distL="114300" distR="114300">
            <wp:extent cx="5731200" cy="3810000"/>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360" w:lineRule="auto"/>
        <w:jc w:val="both"/>
        <w:rPr>
          <w:rFonts w:ascii="Aptos" w:cs="Aptos" w:eastAsia="Aptos" w:hAnsi="Aptos"/>
        </w:rPr>
      </w:pPr>
      <w:r w:rsidDel="00000000" w:rsidR="00000000" w:rsidRPr="00000000">
        <w:rPr>
          <w:rtl w:val="0"/>
        </w:rPr>
      </w:r>
    </w:p>
    <w:p w:rsidR="00000000" w:rsidDel="00000000" w:rsidP="00000000" w:rsidRDefault="00000000" w:rsidRPr="00000000" w14:paraId="00000036">
      <w:pPr>
        <w:spacing w:line="360" w:lineRule="auto"/>
        <w:jc w:val="both"/>
        <w:rPr>
          <w:rFonts w:ascii="Aptos" w:cs="Aptos" w:eastAsia="Aptos" w:hAnsi="Aptos"/>
        </w:rPr>
      </w:pPr>
      <w:r w:rsidDel="00000000" w:rsidR="00000000" w:rsidRPr="00000000">
        <w:rPr>
          <w:rtl w:val="0"/>
        </w:rPr>
      </w:r>
    </w:p>
    <w:p w:rsidR="00000000" w:rsidDel="00000000" w:rsidP="00000000" w:rsidRDefault="00000000" w:rsidRPr="00000000" w14:paraId="00000037">
      <w:pPr>
        <w:spacing w:line="360" w:lineRule="auto"/>
        <w:jc w:val="both"/>
        <w:rPr>
          <w:rFonts w:ascii="Aptos" w:cs="Aptos" w:eastAsia="Aptos" w:hAnsi="Aptos"/>
        </w:rPr>
      </w:pPr>
      <w:r w:rsidDel="00000000" w:rsidR="00000000" w:rsidRPr="00000000">
        <w:rPr>
          <w:rFonts w:ascii="Aptos" w:cs="Aptos" w:eastAsia="Aptos" w:hAnsi="Aptos"/>
        </w:rPr>
        <w:drawing>
          <wp:inline distB="114300" distT="114300" distL="114300" distR="114300">
            <wp:extent cx="6143625" cy="4610100"/>
            <wp:effectExtent b="0" l="0" r="0" t="0"/>
            <wp:docPr id="1"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6143625" cy="46101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pto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image" Target="media/image5.png"/><Relationship Id="rId13" Type="http://schemas.openxmlformats.org/officeDocument/2006/relationships/image" Target="media/image4.jp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