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Transformación y estado de conservación de los manglares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Denisse Viviana Cortés-Castillo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, J. Orlando Rangel-Ch.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rtl w:val="0"/>
        </w:rPr>
        <w:t xml:space="preserve"> y Yennifer García Murcia</w:t>
      </w:r>
      <w:r w:rsidDel="00000000" w:rsidR="00000000" w:rsidRPr="00000000">
        <w:rPr>
          <w:rFonts w:ascii="Arial" w:cs="Arial" w:eastAsia="Arial" w:hAnsi="Arial"/>
          <w:highlight w:val="yellow"/>
          <w:vertAlign w:val="superscript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Destacad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deforestación y la urbanización constituyen los principales factores de transformación de los manglares del Caribe. Conocer su estado de conservación es clave para fomentar el aprovechamiento sostenible de los recursos que proveen.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Cuerpo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manglares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son formaciones vegetales que se </w:t>
      </w:r>
      <w:r w:rsidDel="00000000" w:rsidR="00000000" w:rsidRPr="00000000">
        <w:rPr>
          <w:rFonts w:ascii="Arial" w:cs="Arial" w:eastAsia="Arial" w:hAnsi="Arial"/>
          <w:rtl w:val="0"/>
        </w:rPr>
        <w:t xml:space="preserve">desarrollan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estuarios y deltas </w:t>
      </w:r>
      <w:r w:rsidDel="00000000" w:rsidR="00000000" w:rsidRPr="00000000">
        <w:rPr>
          <w:rFonts w:ascii="Arial" w:cs="Arial" w:eastAsia="Arial" w:hAnsi="Arial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litorales tropicales y subtropicales. En el Caribe colombiano, cubren 70 900 ha (18,7 % del total nacional)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y cumplen funciones clave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como refugios de fauna, fuente de recursos para las poblaciones humanas (especialmente productos forestales maderables y no maderables), protección contra la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erosión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costera y variaciones del nivel del mar, </w:t>
      </w:r>
      <w:r w:rsidDel="00000000" w:rsidR="00000000" w:rsidRPr="00000000">
        <w:rPr>
          <w:rFonts w:ascii="Arial" w:cs="Arial" w:eastAsia="Arial" w:hAnsi="Arial"/>
          <w:rtl w:val="0"/>
        </w:rPr>
        <w:t xml:space="preserve">además de actuar como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sumideros de carbono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En las últimas décadas, </w:t>
      </w:r>
      <w:r w:rsidDel="00000000" w:rsidR="00000000" w:rsidRPr="00000000">
        <w:rPr>
          <w:rFonts w:ascii="Arial" w:cs="Arial" w:eastAsia="Arial" w:hAnsi="Arial"/>
          <w:rtl w:val="0"/>
        </w:rPr>
        <w:t xml:space="preserve">estos ecosistemas han estado sometidos a una creciente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presión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por diversas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intervenciones humanas, lo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hace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urgente conocer su estado de conservación.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 través de un estudio regional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reveló que los manglares de Córdoba presentan buenas condiciones de conservación (mejor desarrollo estructural y diversidad de especies), mientras que los de Antioquia y Sucre tienen condiciones aceptables, y los del Magdalena y La Guajira, condiciones precarias. Este deterioro se </w:t>
      </w:r>
      <w:r w:rsidDel="00000000" w:rsidR="00000000" w:rsidRPr="00000000">
        <w:rPr>
          <w:rFonts w:ascii="Arial" w:cs="Arial" w:eastAsia="Arial" w:hAnsi="Arial"/>
          <w:rtl w:val="0"/>
        </w:rPr>
        <w:t xml:space="preserve">atribuye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en parte, a </w:t>
      </w:r>
      <w:r w:rsidDel="00000000" w:rsidR="00000000" w:rsidRPr="00000000">
        <w:rPr>
          <w:rFonts w:ascii="Arial" w:cs="Arial" w:eastAsia="Arial" w:hAnsi="Arial"/>
          <w:rtl w:val="0"/>
        </w:rPr>
        <w:t xml:space="preserve">acciones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humanas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como la tala para la extracción de madera, el taponamiento de caños, el drenaje de terrenos para ganadería, actividades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agroindustriales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 la construcción de infraestructura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deforestación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destaca como uno de los principales factores de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transformación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estos ecosistemas, </w:t>
      </w:r>
      <w:r w:rsidDel="00000000" w:rsidR="00000000" w:rsidRPr="00000000">
        <w:rPr>
          <w:rFonts w:ascii="Arial" w:cs="Arial" w:eastAsia="Arial" w:hAnsi="Arial"/>
          <w:rtl w:val="0"/>
        </w:rPr>
        <w:t xml:space="preserve">dado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los manglares son una fuente importante de productos forestales no maderables con gran potencial económico. Por ejemplo, las plántulas de mangle rojo (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Rhizophora mangle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), especie </w:t>
      </w:r>
      <w:r w:rsidDel="00000000" w:rsidR="00000000" w:rsidRPr="00000000">
        <w:rPr>
          <w:rFonts w:ascii="Arial" w:cs="Arial" w:eastAsia="Arial" w:hAnsi="Arial"/>
          <w:rtl w:val="0"/>
        </w:rPr>
        <w:t xml:space="preserve">reconocida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por su durabilidad, pueden comercializarse </w:t>
      </w:r>
      <w:r w:rsidDel="00000000" w:rsidR="00000000" w:rsidRPr="00000000">
        <w:rPr>
          <w:rFonts w:ascii="Arial" w:cs="Arial" w:eastAsia="Arial" w:hAnsi="Arial"/>
          <w:rtl w:val="0"/>
        </w:rPr>
        <w:t xml:space="preserve">en el mercado internacional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por hasta 41,9 dólares, mientras que todo el proceso de recolección, limpieza y empaque de propágulos no supera un valor estimado de 7 centavos de dólar</w:t>
      </w:r>
      <w:r w:rsidDel="00000000" w:rsidR="00000000" w:rsidRPr="00000000">
        <w:rPr>
          <w:rFonts w:ascii="Arial" w:cs="Arial" w:eastAsia="Arial" w:hAnsi="Arial"/>
          <w:color w:val="000000"/>
          <w:highlight w:val="yellow"/>
          <w:vertAlign w:val="superscript"/>
          <w:rtl w:val="0"/>
        </w:rPr>
        <w:t xml:space="preserve">5,6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Estas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plántulas se </w:t>
      </w:r>
      <w:r w:rsidDel="00000000" w:rsidR="00000000" w:rsidRPr="00000000">
        <w:rPr>
          <w:rFonts w:ascii="Arial" w:cs="Arial" w:eastAsia="Arial" w:hAnsi="Arial"/>
          <w:rtl w:val="0"/>
        </w:rPr>
        <w:t xml:space="preserve">utilizan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principalmente en acciones de restauración y, en algun</w:t>
      </w:r>
      <w:r w:rsidDel="00000000" w:rsidR="00000000" w:rsidRPr="00000000">
        <w:rPr>
          <w:rFonts w:ascii="Arial" w:cs="Arial" w:eastAsia="Arial" w:hAnsi="Arial"/>
          <w:rtl w:val="0"/>
        </w:rPr>
        <w:t xml:space="preserve">os casos,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como material ornamental.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Escenarios como este plantean el reto de diseñar acciones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promuevan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uso sostenible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de los manglares</w:t>
      </w:r>
      <w:r w:rsidDel="00000000" w:rsidR="00000000" w:rsidRPr="00000000">
        <w:rPr>
          <w:rFonts w:ascii="Arial" w:cs="Arial" w:eastAsia="Arial" w:hAnsi="Arial"/>
          <w:rtl w:val="0"/>
        </w:rPr>
        <w:t xml:space="preserve">, integrando el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conocimiento sobre su estado de conservación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, así como sobre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la capacidad de producción y regeneración de las especies con potencial económico. Un ejemplo </w:t>
      </w:r>
      <w:r w:rsidDel="00000000" w:rsidR="00000000" w:rsidRPr="00000000">
        <w:rPr>
          <w:rFonts w:ascii="Arial" w:cs="Arial" w:eastAsia="Arial" w:hAnsi="Arial"/>
          <w:rtl w:val="0"/>
        </w:rPr>
        <w:t xml:space="preserve">exitoso se encuentra en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la bahía de Cispatá, donde, </w:t>
      </w:r>
      <w:r w:rsidDel="00000000" w:rsidR="00000000" w:rsidRPr="00000000">
        <w:rPr>
          <w:rFonts w:ascii="Arial" w:cs="Arial" w:eastAsia="Arial" w:hAnsi="Arial"/>
          <w:rtl w:val="0"/>
        </w:rPr>
        <w:t xml:space="preserve">a pesar de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los manglares han sido aprovechados por más de sesenta años, aún no han desaparecido gracias al trabajo comunitario y a procesos de educación participativa. </w:t>
      </w:r>
      <w:r w:rsidDel="00000000" w:rsidR="00000000" w:rsidRPr="00000000">
        <w:rPr>
          <w:rFonts w:ascii="Arial" w:cs="Arial" w:eastAsia="Arial" w:hAnsi="Arial"/>
          <w:rtl w:val="0"/>
        </w:rPr>
        <w:t xml:space="preserve">Esto ha permitido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implementar prácticas más sostenibles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la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extracción de recursos madereros y pesqueros, </w:t>
      </w:r>
      <w:r w:rsidDel="00000000" w:rsidR="00000000" w:rsidRPr="00000000">
        <w:rPr>
          <w:rFonts w:ascii="Arial" w:cs="Arial" w:eastAsia="Arial" w:hAnsi="Arial"/>
          <w:rtl w:val="0"/>
        </w:rPr>
        <w:t xml:space="preserve">además de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establecer zonificaciones de conservación y uso del bosque, con el </w:t>
      </w:r>
      <w:r w:rsidDel="00000000" w:rsidR="00000000" w:rsidRPr="00000000">
        <w:rPr>
          <w:rFonts w:ascii="Arial" w:cs="Arial" w:eastAsia="Arial" w:hAnsi="Arial"/>
          <w:rtl w:val="0"/>
        </w:rPr>
        <w:t xml:space="preserve">objetivo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garantizar </w:t>
      </w:r>
      <w:r w:rsidDel="00000000" w:rsidR="00000000" w:rsidRPr="00000000">
        <w:rPr>
          <w:rFonts w:ascii="Arial" w:cs="Arial" w:eastAsia="Arial" w:hAnsi="Arial"/>
          <w:rtl w:val="0"/>
        </w:rPr>
        <w:t xml:space="preserve">a largo plazo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provisión de bienes y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servicios del ecosistema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Fichas relacionadas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BIO</w:t>
      </w:r>
      <w:r w:rsidDel="00000000" w:rsidR="00000000" w:rsidRPr="00000000">
        <w:rPr>
          <w:rFonts w:ascii="Arial" w:cs="Arial" w:eastAsia="Arial" w:hAnsi="Arial"/>
          <w:rtl w:val="0"/>
        </w:rPr>
        <w:t xml:space="preserve"> 2021: 401, 406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rtl w:val="0"/>
        </w:rPr>
        <w:t xml:space="preserve">2020: 102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rtl w:val="0"/>
        </w:rPr>
        <w:t xml:space="preserve">2019: 405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rtl w:val="0"/>
        </w:rPr>
        <w:t xml:space="preserve">2018: 404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rtl w:val="0"/>
        </w:rPr>
        <w:t xml:space="preserve">2016: 412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rtl w:val="0"/>
        </w:rPr>
        <w:t xml:space="preserve">2015: 409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Temáticas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Ecosistemas acuáticos, Servicios ecosistémicos, Transformación, Conservación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Instituciones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a. Universidad Nacional Abierta y a Distancia; b. Universidad Nacional de Colombia; c. Fundación Natura Colombia.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Salidas gráficas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[mapa]. Manglares del Caribe colombiano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3020675" cy="101441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20675" cy="1014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2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701"/>
        <w:tblGridChange w:id="0">
          <w:tblGrid>
            <w:gridCol w:w="704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0500" cy="20955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Humedales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</w:rPr>
              <w:drawing>
                <wp:inline distB="0" distT="0" distL="0" distR="0">
                  <wp:extent cx="204107" cy="1905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07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Manglares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Salida 2. Indicadores para la valoración del estado de conservación de los manglares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65"/>
        <w:gridCol w:w="1765"/>
        <w:gridCol w:w="1766"/>
        <w:gridCol w:w="1766"/>
        <w:gridCol w:w="1766"/>
        <w:tblGridChange w:id="0">
          <w:tblGrid>
            <w:gridCol w:w="1765"/>
            <w:gridCol w:w="1765"/>
            <w:gridCol w:w="1766"/>
            <w:gridCol w:w="1766"/>
            <w:gridCol w:w="1766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Indicador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Condición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Pobre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Aceptable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Buena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Estructura vertical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Número de estratos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estratos o menos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estratos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Más de 3 estratos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Altura máxima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Menor a 5 m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 5-12 m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 m o más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Altura media del dosel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Inferior al promedio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Igual al promedio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Superior al promedio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Estructura horizontal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Cobertura relativa del estrato arbustivo (%)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0-30 %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30-60 %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Más del 60 %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Área basal (m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/0,1 ha)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Desviación del área basal inferior a -1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Desviación del área basal entre -1 y 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Desviación del área basal superior a 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Clases diamétricas (DAP)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Más de 2 clases con frecuencia del 0 %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o 2 clases con frecuencia del 0 %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Ninguna clase con frecuencia del 0 %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Composición florística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Riqueza de especies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1-2 especies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3-4 especies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 o más especies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Presencia de especie característica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Presente en 1 estrato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Presente en 2 estratos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Presente en más de 2 estratos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Salida 3 [gráfico]. Extensión de manglares por departamento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507200" cy="11715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71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Salida 4. Especies representativas del manglar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466"/>
        <w:gridCol w:w="1948"/>
        <w:gridCol w:w="2207"/>
        <w:tblGridChange w:id="0">
          <w:tblGrid>
            <w:gridCol w:w="2207"/>
            <w:gridCol w:w="2466"/>
            <w:gridCol w:w="1948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Nombre común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Nombre científico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commentRangeStart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Usos asociados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rtl w:val="0"/>
              </w:rPr>
              <w:t xml:space="preserve">Categoría de conservación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Mangle rojo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Rhizophora mangle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Construcción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Medicinal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Carbón vegetal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Industria manufacturera 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Mangle negro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Avicennia germinans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Construcción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Medicinal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Alimento para animales Combustible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Mangle blanco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Laguncularia racemosa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Maderable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Construcción</w:t>
            </w:r>
          </w:p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Combustible</w:t>
            </w:r>
          </w:p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Medicina humana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Medicina veterinaria Industria manufacturera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ind w:left="720" w:hanging="720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Mangle zaragoza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Conocarpus erectus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Maderable</w:t>
            </w:r>
          </w:p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Construcción Combustible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Horticultura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Mangle piñuelo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16"/>
                <w:szCs w:val="16"/>
                <w:rtl w:val="0"/>
              </w:rPr>
              <w:t xml:space="preserve">Pelliciera rhizophorae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Construcción</w:t>
            </w:r>
          </w:p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Combustible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VU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Salida 5 [Ilustración].</w:t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5240000" cy="110775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1107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Editor_Humboldt" w:id="0" w:date="2025-05-09T08:16:00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Diseño: crear un ícono para estas categorías.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5.jp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