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                                                 204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Cambios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en el Complejo Cenagoso de Zapatosa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jc w:val="left"/>
        <w:rPr>
          <w:rFonts w:ascii="Arial" w:cs="Arial" w:eastAsia="Arial" w:hAnsi="Arial"/>
          <w:color w:val="000000"/>
          <w:highlight w:val="yellow"/>
        </w:rPr>
      </w:pPr>
      <w:bookmarkStart w:colFirst="0" w:colLast="0" w:name="_b8th6hjclrhy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Claudia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Patricia Andramunio-Acero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Mónica Tatiana López-Muñoz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Yennifer García-Murcia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Yesid Fernando Rondón-Martínez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Lina María Parada Alzate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 y José Andrés Posada-García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bookmarkStart w:colFirst="0" w:colLast="0" w:name="_gvul7l7c2zh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Destacado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Complejo Cenagoso de Zapatosa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enfrenta grandes retos debido a </w:t>
      </w: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transformación del p</w:t>
      </w:r>
      <w:r w:rsidDel="00000000" w:rsidR="00000000" w:rsidRPr="00000000">
        <w:rPr>
          <w:rFonts w:ascii="Arial" w:cs="Arial" w:eastAsia="Arial" w:hAnsi="Arial"/>
          <w:rtl w:val="0"/>
        </w:rPr>
        <w:t xml:space="preserve">aisaje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Su monitoreo es fundamental para reducir las presiones sobre los humedales en la región.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Cuerpo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aumento en la carga de nutrientes y contaminantes,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acidificación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y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eutrofización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pueden conducir a la pérdida de especies en ecosistemas de agua dulce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Estos procesos, de carácter acumulativo, generan alteraciones en los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socioecológicos</w:t>
      </w:r>
      <w:r w:rsidDel="00000000" w:rsidR="00000000" w:rsidRPr="00000000">
        <w:rPr>
          <w:rFonts w:ascii="Arial" w:cs="Arial" w:eastAsia="Arial" w:hAnsi="Arial"/>
          <w:rtl w:val="0"/>
        </w:rPr>
        <w:t xml:space="preserve">. Sin embargo, su influencia ha sido subvalorada en las estadísticas nacionales  sobre cambio de uso del suelo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 cerca de 1900 ciénagas, el Complejo Cenagoso de Zapatosa (CCZ) es el complejo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humedales </w:t>
      </w:r>
      <w:r w:rsidDel="00000000" w:rsidR="00000000" w:rsidRPr="00000000">
        <w:rPr>
          <w:rFonts w:ascii="Arial" w:cs="Arial" w:eastAsia="Arial" w:hAnsi="Arial"/>
          <w:rtl w:val="0"/>
        </w:rPr>
        <w:t xml:space="preserve">más grande de Colombia y cumple un papel clave en la regulación hídrica del Caribe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. No obstante, en años recientes, su equilibrio ecológico se ha visto comprometido, como lo demuestra la ausencia de cambios significativos en su extensión durante la temporada de lluvias. Esto probablemente se deba a limitaciones en la capacidad de almacenamiento de agua, la presencia de especies vegetales que restringen este proceso, y la acumulación de sedimentos y materia orgánica en el lecho del humedal.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deterioro ha sido provocado por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deforestación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, la agricultura intensiva y la urbanización, actividades que incrementan la erosión del suelo, alteran las coberturas vegetales y modifican el flujo hídrico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. De hecho, un estudio reciente encontró que el 65 % de los sitios muestreados presentaron cambios importantes en su estructura, y el 26 % evidenciaron una disminución del número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estratos</w:t>
      </w:r>
      <w:r w:rsidDel="00000000" w:rsidR="00000000" w:rsidRPr="00000000">
        <w:rPr>
          <w:rFonts w:ascii="Arial" w:cs="Arial" w:eastAsia="Arial" w:hAnsi="Arial"/>
          <w:rtl w:val="0"/>
        </w:rPr>
        <w:t xml:space="preserve"> (niveles verticales de la vegetación).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Estas alteraciones en la distribución y organización espacial, visibles en formaciones vegetales dispersas y discontinuas, </w:t>
      </w:r>
      <w:r w:rsidDel="00000000" w:rsidR="00000000" w:rsidRPr="00000000">
        <w:rPr>
          <w:rFonts w:ascii="Arial" w:cs="Arial" w:eastAsia="Arial" w:hAnsi="Arial"/>
          <w:rtl w:val="0"/>
        </w:rPr>
        <w:t xml:space="preserve">amenazan el equilibrio del ecosistema al interrumpir procesos ecológicos clave, como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ciclaje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 nutrientes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o la producción de oxígeno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Por su parte, el cambio en los regímenes de lluvias ha </w:t>
      </w:r>
      <w:r w:rsidDel="00000000" w:rsidR="00000000" w:rsidRPr="00000000">
        <w:rPr>
          <w:rFonts w:ascii="Arial" w:cs="Arial" w:eastAsia="Arial" w:hAnsi="Arial"/>
          <w:rtl w:val="0"/>
        </w:rPr>
        <w:t xml:space="preserve">impactado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la biota acuática del CCZ. En particular, se </w:t>
      </w:r>
      <w:r w:rsidDel="00000000" w:rsidR="00000000" w:rsidRPr="00000000">
        <w:rPr>
          <w:rFonts w:ascii="Arial" w:cs="Arial" w:eastAsia="Arial" w:hAnsi="Arial"/>
          <w:rtl w:val="0"/>
        </w:rPr>
        <w:t xml:space="preserve">ha registrado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presencia abundante de organismos exóticos, como el molusco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Corbicula fluminea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y de vegetación acuática potencialmente invasora, como el buchón de agua (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Pontederia crassipes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),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podría proliferar descontroladamente en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sistemas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lénticos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enriquecidos con nutrientes 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eutrofizados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6-7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Estas tendencias </w:t>
      </w:r>
      <w:r w:rsidDel="00000000" w:rsidR="00000000" w:rsidRPr="00000000">
        <w:rPr>
          <w:rFonts w:ascii="Arial" w:cs="Arial" w:eastAsia="Arial" w:hAnsi="Arial"/>
          <w:rtl w:val="0"/>
        </w:rPr>
        <w:t xml:space="preserve">evidencian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 fragilidad y vulnerabilidad del CCZ.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ello,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resulta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fundamental establecer acciones de control y manejo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prevenir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mayores afectaciones. </w:t>
      </w:r>
      <w:r w:rsidDel="00000000" w:rsidR="00000000" w:rsidRPr="00000000">
        <w:rPr>
          <w:rFonts w:ascii="Arial" w:cs="Arial" w:eastAsia="Arial" w:hAnsi="Arial"/>
          <w:rtl w:val="0"/>
        </w:rPr>
        <w:t xml:space="preserve">En cuanto a la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cobertura vegetal, </w:t>
      </w:r>
      <w:r w:rsidDel="00000000" w:rsidR="00000000" w:rsidRPr="00000000">
        <w:rPr>
          <w:rFonts w:ascii="Arial" w:cs="Arial" w:eastAsia="Arial" w:hAnsi="Arial"/>
          <w:rtl w:val="0"/>
        </w:rPr>
        <w:t xml:space="preserve">se debe priorizar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 restauración del bosque con especies nativas, el establecimiento de áreas de conservación, la rehabilitación de zonas de transición y el restablecimiento de la conectividad </w:t>
      </w:r>
      <w:r w:rsidDel="00000000" w:rsidR="00000000" w:rsidRPr="00000000">
        <w:rPr>
          <w:rFonts w:ascii="Arial" w:cs="Arial" w:eastAsia="Arial" w:hAnsi="Arial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pequeños y medianos afluentes </w:t>
      </w:r>
      <w:r w:rsidDel="00000000" w:rsidR="00000000" w:rsidRPr="00000000">
        <w:rPr>
          <w:rFonts w:ascii="Arial" w:cs="Arial" w:eastAsia="Arial" w:hAnsi="Arial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las ciénagas</w:t>
      </w:r>
      <w:r w:rsidDel="00000000" w:rsidR="00000000" w:rsidRPr="00000000">
        <w:rPr>
          <w:rFonts w:ascii="Arial" w:cs="Arial" w:eastAsia="Arial" w:hAnsi="Arial"/>
          <w:rtl w:val="0"/>
        </w:rPr>
        <w:t xml:space="preserve">. Estas medidas 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eben complementa</w:t>
      </w:r>
      <w:r w:rsidDel="00000000" w:rsidR="00000000" w:rsidRPr="00000000">
        <w:rPr>
          <w:rFonts w:ascii="Arial" w:cs="Arial" w:eastAsia="Arial" w:hAnsi="Arial"/>
          <w:rtl w:val="0"/>
        </w:rPr>
        <w:t xml:space="preserve">rse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con estrategias para la recuperación del suelo y la prevención y control de incendios, entre otras. </w:t>
      </w:r>
      <w:r w:rsidDel="00000000" w:rsidR="00000000" w:rsidRPr="00000000">
        <w:rPr>
          <w:rFonts w:ascii="Arial" w:cs="Arial" w:eastAsia="Arial" w:hAnsi="Arial"/>
          <w:rtl w:val="0"/>
        </w:rPr>
        <w:t xml:space="preserve">En cuanto a los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cuerpos de agua, se propone </w:t>
      </w:r>
      <w:r w:rsidDel="00000000" w:rsidR="00000000" w:rsidRPr="00000000">
        <w:rPr>
          <w:rFonts w:ascii="Arial" w:cs="Arial" w:eastAsia="Arial" w:hAnsi="Arial"/>
          <w:rtl w:val="0"/>
        </w:rPr>
        <w:t xml:space="preserve">fomentar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pesca ecosistémica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rtl w:val="0"/>
        </w:rPr>
        <w:t xml:space="preserve"> proteger el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fondo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humedal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mediante el control y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vigilancia de las artes de pesca y del pastoreo en la ciénaga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after="0" w:before="0"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13">
      <w:pPr>
        <w:spacing w:after="0" w:before="0"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BIO</w:t>
      </w:r>
      <w:r w:rsidDel="00000000" w:rsidR="00000000" w:rsidRPr="00000000">
        <w:rPr>
          <w:rFonts w:ascii="Aptos" w:cs="Aptos" w:eastAsia="Aptos" w:hAnsi="Aptos"/>
          <w:rtl w:val="0"/>
        </w:rPr>
        <w:t xml:space="preserve"> 2021: 105, 211, 401, 406, 418 |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BIO </w:t>
      </w:r>
      <w:r w:rsidDel="00000000" w:rsidR="00000000" w:rsidRPr="00000000">
        <w:rPr>
          <w:rFonts w:ascii="Aptos" w:cs="Aptos" w:eastAsia="Aptos" w:hAnsi="Aptos"/>
          <w:rtl w:val="0"/>
        </w:rPr>
        <w:t xml:space="preserve">2019: 405 |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BIO </w:t>
      </w:r>
      <w:r w:rsidDel="00000000" w:rsidR="00000000" w:rsidRPr="00000000">
        <w:rPr>
          <w:rFonts w:ascii="Aptos" w:cs="Aptos" w:eastAsia="Aptos" w:hAnsi="Aptos"/>
          <w:rtl w:val="0"/>
        </w:rPr>
        <w:t xml:space="preserve">2016: 412</w:t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0" w:before="0"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after="0" w:before="0"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Humedales, Ecosistemas acuáticos, Transformación, Tendencia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Fundación Natura Colombia.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Salidas gráficas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1 [mapa]. Extensión de superficies del CCZ en temporada seca y de lluvias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tbl>
      <w:tblPr>
        <w:tblStyle w:val="Table1"/>
        <w:tblW w:w="10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8534400" cy="110966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0" cy="1109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899077" cy="4067051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077" cy="40670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Temporada seca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Temporada de lluvias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260.0" w:type="dxa"/>
        <w:jc w:val="left"/>
        <w:tblInd w:w="4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524.9999999999995"/>
        <w:tblGridChange w:id="0">
          <w:tblGrid>
            <w:gridCol w:w="735"/>
            <w:gridCol w:w="252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47650" cy="229306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93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Humedales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47650" cy="24765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Superficies inundables</w:t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295"/>
        <w:gridCol w:w="2475"/>
        <w:tblGridChange w:id="0">
          <w:tblGrid>
            <w:gridCol w:w="1605"/>
            <w:gridCol w:w="229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Temporada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Humedales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Superficies inundables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67 322,2 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161 169,7 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Lluvias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66 036,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153 301,5 ha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 2 [gráfico]. Representatividad de motores de transformación identificados por las comunidades locales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0525125" cy="7667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25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[gráfi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co]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 Especies con potencial de aprovechamiento en el CCZ</w:t>
      </w:r>
    </w:p>
    <w:tbl>
      <w:tblPr>
        <w:tblStyle w:val="Table4"/>
        <w:tblW w:w="10300.0" w:type="dxa"/>
        <w:jc w:val="left"/>
        <w:tblInd w:w="1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1230"/>
        <w:gridCol w:w="6220"/>
        <w:tblGridChange w:id="0">
          <w:tblGrid>
            <w:gridCol w:w="2850"/>
            <w:gridCol w:w="1230"/>
            <w:gridCol w:w="6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0" w:line="36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científico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0" w:line="36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común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0" w:line="36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Potencial</w:t>
            </w:r>
          </w:p>
        </w:tc>
      </w:tr>
      <w:tr>
        <w:trPr>
          <w:cantSplit w:val="0"/>
          <w:trHeight w:val="1547.871093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0"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Ipomoea aquatica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0" w:line="36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Batatilla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alor nutritivo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consumo humano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forraje)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ropiedades medicinales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ratamiento de aguas residuales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0"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Ludwigia helminthorrhiza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0" w:line="36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Tripa e’ pollo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Hábitat 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numerosos organismos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before="0" w:line="36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nutritivo: 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limento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fauna acuática, aves 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manatí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0" w:line="36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Pontederia crassipes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0" w:line="36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Buchón de agua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before="0" w:line="360" w:lineRule="auto"/>
              <w:ind w:left="72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Aunque es una especie altamente invasiva, si es controlada, puede ser benéfica en la depuración de los sistemas acuáticos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before="0" w:line="360" w:lineRule="auto"/>
              <w:ind w:left="72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ransformación en productos como papel, artesanías y carbón vegetal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 [Gráfico] Especies del CCZ en categorías de amenaza</w:t>
      </w:r>
    </w:p>
    <w:tbl>
      <w:tblPr>
        <w:tblStyle w:val="Table5"/>
        <w:tblW w:w="70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479.9999999999995"/>
        <w:gridCol w:w="1695"/>
        <w:tblGridChange w:id="0">
          <w:tblGrid>
            <w:gridCol w:w="2880"/>
            <w:gridCol w:w="2479.9999999999995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0"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científico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0"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común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0"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Categoría</w:t>
            </w:r>
          </w:p>
        </w:tc>
      </w:tr>
      <w:tr>
        <w:trPr>
          <w:cantSplit w:val="0"/>
          <w:trHeight w:val="489.999999999997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Trachemys callirostris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Hicotea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Handroanthus chrysanthus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Cañaguate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Pterocarpus acapulcensis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Sangregado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0" w:line="36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￼Sabal mauritiiformis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Palma amarga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NT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[gráfico]. Especies de vegetación acuática con potencial de invasión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5.0000000000005"/>
        <w:gridCol w:w="2355"/>
        <w:tblGridChange w:id="0">
          <w:tblGrid>
            <w:gridCol w:w="3205.00000000000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científico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común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3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Azolla filiculoides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Pontederia azurea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Oreja de mulo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Hymenachne amplexicaulis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Canutillo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Ipomoea aquatica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Batatilla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Lemna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cf.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valdiviana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Lenteja de agua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Pistia stratiotes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Lechuga de agua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Persicaria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cf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. punctatum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Tabaquillo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Salvinia auriculata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Helechito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Salvinia minima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Helechito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Thalia geniculata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Bocachica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6 [Ilustración]</w:t>
      </w:r>
    </w:p>
    <w:p w:rsidR="00000000" w:rsidDel="00000000" w:rsidP="00000000" w:rsidRDefault="00000000" w:rsidRPr="00000000" w14:paraId="00000073">
      <w:pPr>
        <w:spacing w:after="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79329" cy="47823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9329" cy="478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pto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2"/>
        <w:szCs w:val="22"/>
        <w:lang w:val="es-CO"/>
      </w:rPr>
    </w:rPrDefault>
    <w:pPrDefault>
      <w:pPr>
        <w:spacing w:after="240" w:before="24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pPr>
      <w:spacing w:after="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