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Usos de fauna silvestre</w:t>
      </w:r>
    </w:p>
    <w:p w:rsidR="00000000" w:rsidDel="00000000" w:rsidP="00000000" w:rsidRDefault="00000000" w:rsidRPr="00000000" w14:paraId="00000004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Autores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Ramiro A. Gómez Herrera</w:t>
      </w:r>
      <w:r w:rsidDel="00000000" w:rsidR="00000000" w:rsidRPr="00000000">
        <w:rPr>
          <w:sz w:val="22"/>
          <w:szCs w:val="22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, Jesús Ballesteros-Correa</w:t>
      </w:r>
      <w:r w:rsidDel="00000000" w:rsidR="00000000" w:rsidRPr="00000000">
        <w:rPr>
          <w:sz w:val="22"/>
          <w:szCs w:val="22"/>
          <w:highlight w:val="yellow"/>
          <w:vertAlign w:val="superscript"/>
          <w:rtl w:val="0"/>
        </w:rPr>
        <w:t xml:space="preserve">b</w:t>
      </w:r>
      <w:r w:rsidDel="00000000" w:rsidR="00000000" w:rsidRPr="00000000">
        <w:rPr>
          <w:sz w:val="22"/>
          <w:szCs w:val="22"/>
          <w:rtl w:val="0"/>
        </w:rPr>
        <w:t xml:space="preserve"> y Javier Racero-Casarrubia</w:t>
      </w:r>
      <w:r w:rsidDel="00000000" w:rsidR="00000000" w:rsidRPr="00000000">
        <w:rPr>
          <w:sz w:val="22"/>
          <w:szCs w:val="22"/>
          <w:highlight w:val="yellow"/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Destacado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 ser un elemento estructurante de la cultura de las comunidades rurales caribeñas, el uso sostenible de la fauna silvestre es esencial para la preservación de las tradiciones humanas asociadas a ella.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Cuerpo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animales silvestres hacen parte del acervo cultural de las comunidades del Caribe colombiano, donde han sido utilizados históricamente como mascotas, ornamentos, trofeos, medicinas, fuente de alimento e ingresos, y como inspiración artística y religiosa</w:t>
      </w:r>
      <w:r w:rsidDel="00000000" w:rsidR="00000000" w:rsidRPr="00000000">
        <w:rPr>
          <w:sz w:val="22"/>
          <w:szCs w:val="22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. En la actualidad, su sobreexplotación amenaza el equilibrio de los </w:t>
      </w:r>
      <w:r w:rsidDel="00000000" w:rsidR="00000000" w:rsidRPr="00000000">
        <w:rPr>
          <w:b w:val="1"/>
          <w:sz w:val="22"/>
          <w:szCs w:val="22"/>
          <w:rtl w:val="0"/>
        </w:rPr>
        <w:t xml:space="preserve">ecosistemas</w:t>
      </w:r>
      <w:r w:rsidDel="00000000" w:rsidR="00000000" w:rsidRPr="00000000">
        <w:rPr>
          <w:sz w:val="22"/>
          <w:szCs w:val="22"/>
          <w:rtl w:val="0"/>
        </w:rPr>
        <w:t xml:space="preserve">, así como el desarrollo cultural y material de las comunidades humanas que habitan la región.</w:t>
      </w:r>
    </w:p>
    <w:p w:rsidR="00000000" w:rsidDel="00000000" w:rsidP="00000000" w:rsidRDefault="00000000" w:rsidRPr="00000000" w14:paraId="0000000D">
      <w:pPr>
        <w:spacing w:after="0" w:line="36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Trabajos recientes en el departamento del Magdalena</w:t>
      </w:r>
      <w:r w:rsidDel="00000000" w:rsidR="00000000" w:rsidRPr="00000000">
        <w:rPr>
          <w:sz w:val="22"/>
          <w:szCs w:val="22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 permitieron identificar 67 especies utilizadas para consumo, comercio y tenencia como mascotas. Estos resultados concuerdan de manera general con los usos de la fauna documentados para el Caribe. Algunas especies, como el armadillo, el ñeque y el venado, son muy apetecidas por el sabor de su carne y su valor nutricional</w:t>
      </w:r>
      <w:r w:rsidDel="00000000" w:rsidR="00000000" w:rsidRPr="00000000">
        <w:rPr>
          <w:sz w:val="22"/>
          <w:szCs w:val="22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. En el caso de la babilla, la hicotea, la iguana y los morrocoyos, el consumo está asociado a tradiciones religiosas como la Semana Santa, durante la cual pasan a ser ingredientes de recetas típicas, como alternativa a la carne roja</w:t>
      </w:r>
      <w:r w:rsidDel="00000000" w:rsidR="00000000" w:rsidRPr="00000000">
        <w:rPr>
          <w:sz w:val="22"/>
          <w:szCs w:val="22"/>
          <w:highlight w:val="yellow"/>
          <w:vertAlign w:val="superscript"/>
          <w:rtl w:val="0"/>
        </w:rPr>
        <w:t xml:space="preserve">3-5</w:t>
      </w:r>
      <w:r w:rsidDel="00000000" w:rsidR="00000000" w:rsidRPr="00000000">
        <w:rPr>
          <w:sz w:val="22"/>
          <w:szCs w:val="22"/>
          <w:rtl w:val="0"/>
        </w:rPr>
        <w:t xml:space="preserve">. Finalmente, especies como las guacamayas y los micos maiceros han demostrado ser buenos animales de compañía tanto en zonas rurales como urbanas, debido a su carácter </w:t>
      </w:r>
      <w:r w:rsidDel="00000000" w:rsidR="00000000" w:rsidRPr="00000000">
        <w:rPr>
          <w:b w:val="1"/>
          <w:sz w:val="22"/>
          <w:szCs w:val="22"/>
          <w:rtl w:val="0"/>
        </w:rPr>
        <w:t xml:space="preserve">carismático</w:t>
      </w:r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0" w:line="36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fauna silvestre también provee insumos para la fabricación de artesanías, una práctica a través de la cual los animales sirven de inspiración para representar simbólicamente elementos culturales asociados a la identidad o el territorio. Por ejemplo, al ingresar a muchas viviendas en zonas rurales, no es raro encontrar decoraciones como caparazones de tortugas, astas de venado, pieles, colmillos, plumas y animales enteros disecados. Algo similar ocurre con especies como la serpiente cascabel o el guácharo, asociadas a tratamientos médicos y usos terapéuticos como parte de tradiciones culturales de larga data.</w:t>
      </w:r>
    </w:p>
    <w:p w:rsidR="00000000" w:rsidDel="00000000" w:rsidP="00000000" w:rsidRDefault="00000000" w:rsidRPr="00000000" w14:paraId="0000000F">
      <w:pPr>
        <w:spacing w:after="0" w:line="36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Reconocer el papel que desempeña la fauna silvestre en términos culturales y económicos para las comunidades de la región, así como identificar aquellas especies de especial interés, podría ser la clave para encontrar soluciones a fenómenos como la caza indiscriminada o el tráfico de especies. De esta manera, se abren oportunidades para preservar no solo la biodiversidad de la región, sino también las tradiciones culturales asociadas a ella.</w:t>
      </w:r>
    </w:p>
    <w:p w:rsidR="00000000" w:rsidDel="00000000" w:rsidP="00000000" w:rsidRDefault="00000000" w:rsidRPr="00000000" w14:paraId="00000010">
      <w:pPr>
        <w:tabs>
          <w:tab w:val="left" w:leader="none" w:pos="0"/>
        </w:tabs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Fichas relacionadas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BIO</w:t>
      </w:r>
      <w:r w:rsidDel="00000000" w:rsidR="00000000" w:rsidRPr="00000000">
        <w:rPr>
          <w:sz w:val="22"/>
          <w:szCs w:val="22"/>
          <w:rtl w:val="0"/>
        </w:rPr>
        <w:t xml:space="preserve"> 2023: 305 | </w:t>
      </w:r>
      <w:r w:rsidDel="00000000" w:rsidR="00000000" w:rsidRPr="00000000">
        <w:rPr>
          <w:b w:val="1"/>
          <w:sz w:val="22"/>
          <w:szCs w:val="22"/>
          <w:rtl w:val="0"/>
        </w:rPr>
        <w:t xml:space="preserve">BIO </w:t>
      </w:r>
      <w:r w:rsidDel="00000000" w:rsidR="00000000" w:rsidRPr="00000000">
        <w:rPr>
          <w:sz w:val="22"/>
          <w:szCs w:val="22"/>
          <w:rtl w:val="0"/>
        </w:rPr>
        <w:t xml:space="preserve">2021: 404 | </w:t>
      </w:r>
      <w:r w:rsidDel="00000000" w:rsidR="00000000" w:rsidRPr="00000000">
        <w:rPr>
          <w:b w:val="1"/>
          <w:sz w:val="22"/>
          <w:szCs w:val="22"/>
          <w:rtl w:val="0"/>
        </w:rPr>
        <w:t xml:space="preserve">BIO </w:t>
      </w:r>
      <w:r w:rsidDel="00000000" w:rsidR="00000000" w:rsidRPr="00000000">
        <w:rPr>
          <w:sz w:val="22"/>
          <w:szCs w:val="22"/>
          <w:rtl w:val="0"/>
        </w:rPr>
        <w:t xml:space="preserve">2020: 412 | </w:t>
      </w:r>
      <w:r w:rsidDel="00000000" w:rsidR="00000000" w:rsidRPr="00000000">
        <w:rPr>
          <w:b w:val="1"/>
          <w:sz w:val="22"/>
          <w:szCs w:val="22"/>
          <w:rtl w:val="0"/>
        </w:rPr>
        <w:t xml:space="preserve">BIO</w:t>
      </w:r>
      <w:r w:rsidDel="00000000" w:rsidR="00000000" w:rsidRPr="00000000">
        <w:rPr>
          <w:sz w:val="22"/>
          <w:szCs w:val="22"/>
          <w:rtl w:val="0"/>
        </w:rPr>
        <w:t xml:space="preserve"> 2018: 404, 406 | </w:t>
      </w:r>
      <w:r w:rsidDel="00000000" w:rsidR="00000000" w:rsidRPr="00000000">
        <w:rPr>
          <w:b w:val="1"/>
          <w:sz w:val="22"/>
          <w:szCs w:val="22"/>
          <w:rtl w:val="0"/>
        </w:rPr>
        <w:t xml:space="preserve">BIO </w:t>
      </w:r>
      <w:r w:rsidDel="00000000" w:rsidR="00000000" w:rsidRPr="00000000">
        <w:rPr>
          <w:sz w:val="22"/>
          <w:szCs w:val="22"/>
          <w:rtl w:val="0"/>
        </w:rPr>
        <w:t xml:space="preserve">2017: 406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Temáticas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Sostenibilidad, Comunidades, Sistemas socioecológicos, Usos y conocimientos locales y tradicionales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Instituciones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a. Universidad del Magdalena; b. Universidad de Córdoba.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Salidas gráficas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Salida 1 [gráfico]. Frecuencia de uso de especies por tipo y grupo biológico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7348538" cy="43841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4384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Salida 2 [gráfico]. Índice de importancia cultural y usos por especie</w:t>
      </w:r>
      <w:r w:rsidDel="00000000" w:rsidR="00000000" w:rsidRPr="00000000">
        <w:rPr>
          <w:rtl w:val="0"/>
        </w:rPr>
      </w:r>
    </w:p>
    <w:tbl>
      <w:tblPr>
        <w:tblStyle w:val="Table1"/>
        <w:tblW w:w="11929.0" w:type="dxa"/>
        <w:jc w:val="left"/>
        <w:tblInd w:w="-495.0" w:type="dxa"/>
        <w:tblLayout w:type="fixed"/>
        <w:tblLook w:val="0400"/>
      </w:tblPr>
      <w:tblGrid>
        <w:gridCol w:w="1275"/>
        <w:gridCol w:w="2340"/>
        <w:gridCol w:w="1845"/>
        <w:gridCol w:w="1125"/>
        <w:gridCol w:w="1140"/>
        <w:gridCol w:w="990"/>
        <w:gridCol w:w="1125"/>
        <w:gridCol w:w="757"/>
        <w:gridCol w:w="765"/>
        <w:gridCol w:w="567"/>
        <w:tblGridChange w:id="0">
          <w:tblGrid>
            <w:gridCol w:w="1275"/>
            <w:gridCol w:w="2340"/>
            <w:gridCol w:w="1845"/>
            <w:gridCol w:w="1125"/>
            <w:gridCol w:w="1140"/>
            <w:gridCol w:w="990"/>
            <w:gridCol w:w="1125"/>
            <w:gridCol w:w="757"/>
            <w:gridCol w:w="765"/>
            <w:gridCol w:w="567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Grupo biológico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científico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común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Comercio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Mascota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Artesanía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Medicina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IIC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Boa constrictor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Bothrops asper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Mapaná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Crocodylus acutus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Caimán aguja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Medio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Caiman crocodylus fuscus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Babilla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Chelonoidis carbonarius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Morrocoyo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Crotalus durissus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Cascabel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Helicops danieli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Mapaná agua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Iguana iguana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Iguana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Kinosternon scorpioides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Tapaculo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Micrurus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sp.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Podocnemis lewyana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Nuca torcía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Reptil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Trachemys callirostris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Hicotea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Amazona ochrocephala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Ara ararauna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Guacamaya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Ara macao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Colombiana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Ardea alba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Garza blanca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Ardea cocoi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Garza morena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Ardea herodias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Garza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Brotogeris jugularis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Perico cardon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Burhinus bistriatus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Galán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Cathartes aura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Chauna chavaria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Chavarrí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Medio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Colinus cristatus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Codorniz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Columbina minuta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Cascaberlita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Columbina talpacoti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Tierrerita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Coragyps atratus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Golero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Dendrocygna autumnalis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Pisingo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Dendrocygna viduata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Viudita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Medio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Eupsittula pertinax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Cotorra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Icterus nigrogularis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Toche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Leptotila verreauxi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Turca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Mycteria americana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Coyongo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Ortalis garrula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Guacharaca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Patagioenas cayennensis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Guarumera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Penelope purpurascens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Pava congona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Bajo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Phalacrocorax brasilianus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Pato yuyo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Sicalis flaveola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Thraupis episcopus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Azulejo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Vanellus chilensis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Tanga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Volatinia jacarina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Chirrió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Medio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Alouatta seniculus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Mono arroyero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Aotus griseimembra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Martica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Ateles hybridus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Marimonda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Bajo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Bradypus variegatus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Perico ligero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Cabassous centralis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Mojan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Cebus versicolor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Mico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cariblanco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Coendou longicaudatus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Puercoespín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Cuniculus paca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Guartinaja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Dasyprocta punctata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Ñeque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Dasypus novemcinctus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Jerre-jerre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Didelphis marsupialis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Zorra chusca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Eira barbara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Guácharo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Herpailurus yagouaroundi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Gato pardo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Hydrochoerus h. isthmius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Ponche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Leopardus pardalis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Tigrillo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Lontra longicaudis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Perro de agua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Medio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Passalites sanctaemartae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Corzuela de Santa Marta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Myrmecophaga tridactyla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Rabo de caballo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Notosciurus granatensis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Ardita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Odocoileus virginianus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Venado racimo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Bajo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Panthera onca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Tigre jaguar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7d31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Medio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Dicotyles tajacu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Zaino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Puma concolor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Puma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Bajo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Sylvilagus floridanus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Conejo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Tamandua mexicana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Pundungo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Tapirus terrestris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Bajo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Mamífero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Tayassu pecari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Puerco manao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0.28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Texto: El índice de importancia cultural (IIC) tiene en cuenta variables como la intensidad de uso (frecuencia), el número de reportes y el número de especies útiles.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Salida 3 [Ilustración].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76" w:lineRule="auto"/>
        <w:rPr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538913" cy="475510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475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[Ícono mamífero]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Corzuela de Santa Marta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Passalites sanctaemartae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