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305</w:t>
      </w:r>
    </w:p>
    <w:p w:rsidR="00000000" w:rsidDel="00000000" w:rsidP="00000000" w:rsidRDefault="00000000" w:rsidRPr="00000000" w14:paraId="00000002">
      <w:pP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Título</w:t>
      </w:r>
    </w:p>
    <w:p w:rsidR="00000000" w:rsidDel="00000000" w:rsidP="00000000" w:rsidRDefault="00000000" w:rsidRPr="00000000" w14:paraId="00000003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Proyecto Tití</w:t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Autores</w:t>
      </w:r>
    </w:p>
    <w:p w:rsidR="00000000" w:rsidDel="00000000" w:rsidP="00000000" w:rsidRDefault="00000000" w:rsidRPr="00000000" w14:paraId="00000006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Rosamira Guillén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Destacado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supervivencia del tití cabeciblanco, hoy en peligro crítico de extinción, depende de la implementación de acciones de conservación en el bosque tropical, que incluyan trabajo comunitario y educación ambiental en torno a la importancia ecológica de este ecosistema.</w:t>
      </w:r>
    </w:p>
    <w:p w:rsidR="00000000" w:rsidDel="00000000" w:rsidP="00000000" w:rsidRDefault="00000000" w:rsidRPr="00000000" w14:paraId="0000000A">
      <w:pP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Cuerpo</w:t>
      </w:r>
    </w:p>
    <w:p w:rsidR="00000000" w:rsidDel="00000000" w:rsidP="00000000" w:rsidRDefault="00000000" w:rsidRPr="00000000" w14:paraId="0000000C">
      <w:pPr>
        <w:spacing w:after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tití cabeciblanco (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Oedipomidas oedipus</w:t>
      </w:r>
      <w:r w:rsidDel="00000000" w:rsidR="00000000" w:rsidRPr="00000000">
        <w:rPr>
          <w:rFonts w:ascii="Arial" w:cs="Arial" w:eastAsia="Arial" w:hAnsi="Arial"/>
          <w:rtl w:val="0"/>
        </w:rPr>
        <w:t xml:space="preserve">) es un pequeño primate del tamaño de una ardilla que habita exclusivamente los bosques tropicales del Caribe colombiano. Actualmente, la deforestación y fragmentación de su hábitat, derivadas de actividades agropecuarias, junto con la caza indiscriminada y el comercio ilegal, lo han llevado al borde de la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extinción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. Esta situación ha hecho que pase de estar En Peligro (EN) desde 1982 a en Peligro Crítico (CR) desde 2008, según la lista roja de especies de la UICN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1,2</w:t>
      </w:r>
      <w:r w:rsidDel="00000000" w:rsidR="00000000" w:rsidRPr="00000000">
        <w:rPr>
          <w:rFonts w:ascii="Arial" w:cs="Arial" w:eastAsia="Arial" w:hAnsi="Arial"/>
          <w:rtl w:val="0"/>
        </w:rPr>
        <w:t xml:space="preserve">. El último censo desarrollado por la Fundación Proyecto Tití estima que solo quedan cerca de 7000 titíes en estado silvestre dentro de su área histórica de distribución en el Caribe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after="0" w:line="36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 más de treinta años de investigación, la Fundación Proyecto Tití ha contribuido significativamente a nuestro conocimiento sobre esta especie, incluyendo su comportamiento, desarrollo, dieta, reproducción y el estado de sus poblaciones silvestres. Gracias a estos estudios, se ha identificado el papel ecológico clave del tití como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dispersor de semillas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polinizador </w:t>
      </w:r>
      <w:r w:rsidDel="00000000" w:rsidR="00000000" w:rsidRPr="00000000">
        <w:rPr>
          <w:rFonts w:ascii="Arial" w:cs="Arial" w:eastAsia="Arial" w:hAnsi="Arial"/>
          <w:rtl w:val="0"/>
        </w:rPr>
        <w:t xml:space="preserve">y controlador de poblaciones de insectos en el bosque. Comprender la ecología de la especie ha sido la base para el diseño de estrategias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conservación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incluyen acciones de restauración, educación y divulgación ambiental, así como la implementación de acuerdos con comunidades locales, mediante los cuales estas se han comprometido a proteger al tití y su hábitat a cambio de beneficios e incentivos que mejoran su bienestar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after="0" w:line="36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Una de las estrategias más relevantes ha sido la protección del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bosque seco tropical</w:t>
      </w:r>
      <w:r w:rsidDel="00000000" w:rsidR="00000000" w:rsidRPr="00000000">
        <w:rPr>
          <w:rFonts w:ascii="Arial" w:cs="Arial" w:eastAsia="Arial" w:hAnsi="Arial"/>
          <w:rtl w:val="0"/>
        </w:rPr>
        <w:t xml:space="preserve">, un ecosistema bajo grave amenaza del cual solo subsiste el 8 % de su distribución original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5,6</w:t>
      </w:r>
      <w:r w:rsidDel="00000000" w:rsidR="00000000" w:rsidRPr="00000000">
        <w:rPr>
          <w:rFonts w:ascii="Arial" w:cs="Arial" w:eastAsia="Arial" w:hAnsi="Arial"/>
          <w:rtl w:val="0"/>
        </w:rPr>
        <w:t xml:space="preserve">. Hasta la fecha, en alianza con autoridades ambientales de los departamentos de Atlántico y Bolívar, el Proyecto Tití ha logrado designar más de 6000 ha como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áreas protegidas</w:t>
      </w:r>
      <w:r w:rsidDel="00000000" w:rsidR="00000000" w:rsidRPr="00000000">
        <w:rPr>
          <w:rFonts w:ascii="Arial" w:cs="Arial" w:eastAsia="Arial" w:hAnsi="Arial"/>
          <w:rtl w:val="0"/>
        </w:rPr>
        <w:t xml:space="preserve"> (públicas y privadas) para la conservación de la especie. Asimismo, ha orientado procesos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restauración </w:t>
      </w:r>
      <w:r w:rsidDel="00000000" w:rsidR="00000000" w:rsidRPr="00000000">
        <w:rPr>
          <w:rFonts w:ascii="Arial" w:cs="Arial" w:eastAsia="Arial" w:hAnsi="Arial"/>
          <w:rtl w:val="0"/>
        </w:rPr>
        <w:t xml:space="preserve">a través de la siembra de más de 120 000 árboles nativos, que han permitido recuperar la cobertura en unas 2000 ha de bosque.</w:t>
      </w:r>
    </w:p>
    <w:p w:rsidR="00000000" w:rsidDel="00000000" w:rsidP="00000000" w:rsidRDefault="00000000" w:rsidRPr="00000000" w14:paraId="0000000F">
      <w:pPr>
        <w:spacing w:after="0" w:line="36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apuesta integral del Proyecto Tití también también se refleja en el desarrollo de programas educativos destinados a más de 3000 jóvenes en comunidades rurales de Atlántico, Bolívar y Sucre. Estos programas buscan, por un lado, concientizar sobre el daño que representa la pérdida de bosque y el tráfico de animales silvestres en el bienestar humano; y, por otro, fomentar la empatía, motivar acciones de conservación y despertar sentimientos de orgullo por el carácter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endémico </w:t>
      </w:r>
      <w:r w:rsidDel="00000000" w:rsidR="00000000" w:rsidRPr="00000000">
        <w:rPr>
          <w:rFonts w:ascii="Arial" w:cs="Arial" w:eastAsia="Arial" w:hAnsi="Arial"/>
          <w:rtl w:val="0"/>
        </w:rPr>
        <w:t xml:space="preserve">de la especie</w:t>
      </w:r>
      <w:r w:rsidDel="00000000" w:rsidR="00000000" w:rsidRPr="00000000">
        <w:rPr>
          <w:rFonts w:ascii="Arial" w:cs="Arial" w:eastAsia="Arial" w:hAnsi="Arial"/>
          <w:highlight w:val="yellow"/>
          <w:vertAlign w:val="superscript"/>
          <w:rtl w:val="0"/>
        </w:rPr>
        <w:t xml:space="preserve">7-9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0" w:line="36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Aumentar el valor social, cultural y ambiental del tití cabeciblanco, así como ofrecer beneficios e incentivos tangibles a las comunidades locales, mientras se protegen y restauran áreas de bosque para el tití, la fauna nativa y el bienestar humano, son estrategias clave que se deberán seguir implementando para garantizar un futuro a largo plazo para el tití cabeciblanco y los bosques que constituyen su hogar.</w:t>
      </w:r>
    </w:p>
    <w:p w:rsidR="00000000" w:rsidDel="00000000" w:rsidP="00000000" w:rsidRDefault="00000000" w:rsidRPr="00000000" w14:paraId="00000011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0"/>
        </w:tabs>
        <w:spacing w:after="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Fichas relacionadas</w:t>
      </w:r>
    </w:p>
    <w:p w:rsidR="00000000" w:rsidDel="00000000" w:rsidP="00000000" w:rsidRDefault="00000000" w:rsidRPr="00000000" w14:paraId="00000013">
      <w:pPr>
        <w:spacing w:after="0"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BIO</w:t>
      </w:r>
      <w:r w:rsidDel="00000000" w:rsidR="00000000" w:rsidRPr="00000000">
        <w:rPr>
          <w:rtl w:val="0"/>
        </w:rPr>
        <w:t xml:space="preserve"> 2022: 101, 301 | </w:t>
      </w:r>
      <w:r w:rsidDel="00000000" w:rsidR="00000000" w:rsidRPr="00000000">
        <w:rPr>
          <w:b w:val="1"/>
          <w:rtl w:val="0"/>
        </w:rPr>
        <w:t xml:space="preserve">BIO </w:t>
      </w:r>
      <w:r w:rsidDel="00000000" w:rsidR="00000000" w:rsidRPr="00000000">
        <w:rPr>
          <w:rtl w:val="0"/>
        </w:rPr>
        <w:t xml:space="preserve">2021: 201, 403 | </w:t>
      </w:r>
      <w:r w:rsidDel="00000000" w:rsidR="00000000" w:rsidRPr="00000000">
        <w:rPr>
          <w:b w:val="1"/>
          <w:rtl w:val="0"/>
        </w:rPr>
        <w:t xml:space="preserve">BIO </w:t>
      </w:r>
      <w:r w:rsidDel="00000000" w:rsidR="00000000" w:rsidRPr="00000000">
        <w:rPr>
          <w:rtl w:val="0"/>
        </w:rPr>
        <w:t xml:space="preserve">2020: 202, 305, 406 | </w:t>
      </w:r>
      <w:r w:rsidDel="00000000" w:rsidR="00000000" w:rsidRPr="00000000">
        <w:rPr>
          <w:b w:val="1"/>
          <w:rtl w:val="0"/>
        </w:rPr>
        <w:t xml:space="preserve">BIO</w:t>
      </w:r>
      <w:r w:rsidDel="00000000" w:rsidR="00000000" w:rsidRPr="00000000">
        <w:rPr>
          <w:rtl w:val="0"/>
        </w:rPr>
        <w:t xml:space="preserve"> 2019: 204 | </w:t>
      </w:r>
      <w:r w:rsidDel="00000000" w:rsidR="00000000" w:rsidRPr="00000000">
        <w:rPr>
          <w:b w:val="1"/>
          <w:rtl w:val="0"/>
        </w:rPr>
        <w:t xml:space="preserve">BIO </w:t>
      </w:r>
      <w:r w:rsidDel="00000000" w:rsidR="00000000" w:rsidRPr="00000000">
        <w:rPr>
          <w:rtl w:val="0"/>
        </w:rPr>
        <w:t xml:space="preserve">2018: 203</w:t>
      </w:r>
    </w:p>
    <w:p w:rsidR="00000000" w:rsidDel="00000000" w:rsidP="00000000" w:rsidRDefault="00000000" w:rsidRPr="00000000" w14:paraId="00000014">
      <w:pPr>
        <w:tabs>
          <w:tab w:val="left" w:leader="none" w:pos="0"/>
        </w:tabs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0"/>
        </w:tabs>
        <w:spacing w:after="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Temáticas</w:t>
      </w:r>
    </w:p>
    <w:p w:rsidR="00000000" w:rsidDel="00000000" w:rsidP="00000000" w:rsidRDefault="00000000" w:rsidRPr="00000000" w14:paraId="00000016">
      <w:pPr>
        <w:tabs>
          <w:tab w:val="left" w:leader="none" w:pos="0"/>
        </w:tabs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Bosque seco, Especies amenazadas, Especies endémicas, Restauración</w:t>
      </w:r>
    </w:p>
    <w:p w:rsidR="00000000" w:rsidDel="00000000" w:rsidP="00000000" w:rsidRDefault="00000000" w:rsidRPr="00000000" w14:paraId="00000017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Instituciones</w:t>
      </w:r>
    </w:p>
    <w:p w:rsidR="00000000" w:rsidDel="00000000" w:rsidP="00000000" w:rsidRDefault="00000000" w:rsidRPr="00000000" w14:paraId="00000019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a. Fundación Proyecto Tití.</w:t>
      </w:r>
    </w:p>
    <w:p w:rsidR="00000000" w:rsidDel="00000000" w:rsidP="00000000" w:rsidRDefault="00000000" w:rsidRPr="00000000" w14:paraId="0000001A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Salidas gráficas</w:t>
      </w:r>
    </w:p>
    <w:p w:rsidR="00000000" w:rsidDel="00000000" w:rsidP="00000000" w:rsidRDefault="00000000" w:rsidRPr="00000000" w14:paraId="0000001C">
      <w:pP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Salida 1 [mapa]. Área de distribución histórica del tití cabeciblanco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51525" cy="496107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4961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511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4414"/>
        <w:tblGridChange w:id="0">
          <w:tblGrid>
            <w:gridCol w:w="70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0" w:line="36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922" cy="159488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22" cy="159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Área de distribución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0" w:line="36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123842" cy="123842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" cy="1238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360" w:lineRule="auto"/>
              <w:rPr/>
            </w:pPr>
            <w:r w:rsidDel="00000000" w:rsidR="00000000" w:rsidRPr="00000000">
              <w:rPr>
                <w:rtl w:val="0"/>
              </w:rPr>
              <w:t xml:space="preserve">Bosque seco tropical</w:t>
            </w:r>
          </w:p>
        </w:tc>
      </w:tr>
    </w:tbl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Salida 2 [gráfico]. Decomisos de titíes cabeciblancos víctimas de tráfico ilegal (2016-2023)</w:t>
      </w:r>
    </w:p>
    <w:p w:rsidR="00000000" w:rsidDel="00000000" w:rsidP="00000000" w:rsidRDefault="00000000" w:rsidRPr="00000000" w14:paraId="00000028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24567" cy="37996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567" cy="379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Total = 687 individuos.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Salida 3 [ilustración].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010215" cy="4371792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15" cy="4371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005263" cy="4552471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4552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[ícono mamífero][ícono CR]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Tití cabeciblanco</w:t>
      </w:r>
    </w:p>
    <w:p w:rsidR="00000000" w:rsidDel="00000000" w:rsidP="00000000" w:rsidRDefault="00000000" w:rsidRPr="00000000" w14:paraId="00000034">
      <w:pPr>
        <w:spacing w:after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Oedipomidas oedipus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986213" cy="5336041"/>
            <wp:effectExtent b="0" l="0" r="0" t="0"/>
            <wp:docPr descr="A pair of men looking through binoculars&#10;&#10;AI-generated content may be incorrect." id="1" name="image4.jpg"/>
            <a:graphic>
              <a:graphicData uri="http://schemas.openxmlformats.org/drawingml/2006/picture">
                <pic:pic>
                  <pic:nvPicPr>
                    <pic:cNvPr descr="A pair of men looking through binoculars&#10;&#10;AI-generated content may be incorrect."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5336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color w:val="ffffff"/>
          <w:highlight w:val="magenta"/>
        </w:rPr>
      </w:pPr>
      <w:r w:rsidDel="00000000" w:rsidR="00000000" w:rsidRPr="00000000">
        <w:rPr>
          <w:rFonts w:ascii="Arial" w:cs="Arial" w:eastAsia="Arial" w:hAnsi="Arial"/>
          <w:b w:val="1"/>
          <w:color w:val="ffffff"/>
          <w:highlight w:val="magenta"/>
          <w:rtl w:val="0"/>
        </w:rPr>
        <w:t xml:space="preserve">Salida X [carrusel de </w:t>
      </w:r>
      <w:r w:rsidDel="00000000" w:rsidR="00000000" w:rsidRPr="00000000">
        <w:rPr>
          <w:rFonts w:ascii="Arial" w:cs="Arial" w:eastAsia="Arial" w:hAnsi="Arial"/>
          <w:b w:val="1"/>
          <w:color w:val="ffffff"/>
          <w:highlight w:val="magenta"/>
          <w:rtl w:val="0"/>
        </w:rPr>
        <w:t xml:space="preserve">imágenes </w:t>
      </w:r>
      <w:r w:rsidDel="00000000" w:rsidR="00000000" w:rsidRPr="00000000">
        <w:rPr>
          <w:rFonts w:ascii="Arial" w:cs="Arial" w:eastAsia="Arial" w:hAnsi="Arial"/>
          <w:b w:val="1"/>
          <w:color w:val="ffffff"/>
          <w:highlight w:val="magenta"/>
          <w:rtl w:val="0"/>
        </w:rPr>
        <w:t xml:space="preserve">– exclusivo web]. Actividades de conservación implementadas por la Fundación Proyecto Tití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1804035" cy="2405380"/>
            <wp:effectExtent b="0" l="0" r="0" t="0"/>
            <wp:docPr descr="A pair of men looking through binoculars&#10;&#10;AI-generated content may be incorrect." id="4" name="image4.jpg"/>
            <a:graphic>
              <a:graphicData uri="http://schemas.openxmlformats.org/drawingml/2006/picture">
                <pic:pic>
                  <pic:nvPicPr>
                    <pic:cNvPr descr="A pair of men looking through binoculars&#10;&#10;AI-generated content may be incorrect."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240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630930" cy="2420620"/>
            <wp:effectExtent b="0" l="0" r="0" t="0"/>
            <wp:docPr descr="A couple of men in the jungle&#10;&#10;AI-generated content may be incorrect." id="7" name="image12.jpg"/>
            <a:graphic>
              <a:graphicData uri="http://schemas.openxmlformats.org/drawingml/2006/picture">
                <pic:pic>
                  <pic:nvPicPr>
                    <pic:cNvPr descr="A couple of men in the jungle&#10;&#10;AI-generated content may be incorrect."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420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3C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257550" cy="2171700"/>
            <wp:effectExtent b="0" l="0" r="0" t="0"/>
            <wp:docPr descr="A person pouring water from a watering can into a plant&#10;&#10;AI-generated content may be incorrect." id="6" name="image1.jpg"/>
            <a:graphic>
              <a:graphicData uri="http://schemas.openxmlformats.org/drawingml/2006/picture">
                <pic:pic>
                  <pic:nvPicPr>
                    <pic:cNvPr descr="A person pouring water from a watering can into a plant&#10;&#10;AI-generated content may be incorrect.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1470567" cy="2203732"/>
            <wp:effectExtent b="0" l="0" r="0" t="0"/>
            <wp:docPr descr="A person in a hat kneeling in the grass&#10;&#10;AI-generated content may be incorrect." id="9" name="image11.jpg"/>
            <a:graphic>
              <a:graphicData uri="http://schemas.openxmlformats.org/drawingml/2006/picture">
                <pic:pic>
                  <pic:nvPicPr>
                    <pic:cNvPr descr="A person in a hat kneeling in the grass&#10;&#10;AI-generated content may be incorrect."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0567" cy="220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2769280" cy="2077117"/>
            <wp:effectExtent b="0" l="0" r="0" t="0"/>
            <wp:docPr descr="A group of children holding a sign&#10;&#10;AI-generated content may be incorrect." id="8" name="image5.jpg"/>
            <a:graphic>
              <a:graphicData uri="http://schemas.openxmlformats.org/drawingml/2006/picture">
                <pic:pic>
                  <pic:nvPicPr>
                    <pic:cNvPr descr="A group of children holding a sign&#10;&#10;AI-generated content may be incorrect."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9280" cy="207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2766938" cy="2074732"/>
            <wp:effectExtent b="0" l="0" r="0" t="0"/>
            <wp:docPr descr="A group of children posing for a photo&#10;&#10;AI-generated content may be incorrect." id="12" name="image9.jpg"/>
            <a:graphic>
              <a:graphicData uri="http://schemas.openxmlformats.org/drawingml/2006/picture">
                <pic:pic>
                  <pic:nvPicPr>
                    <pic:cNvPr descr="A group of children posing for a photo&#10;&#10;AI-generated content may be incorrect."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6938" cy="20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078480" cy="2052320"/>
            <wp:effectExtent b="0" l="0" r="0" t="0"/>
            <wp:docPr descr="A group of women sitting at a table with stuffed animals&#10;&#10;AI-generated content may be incorrect." id="11" name="image2.jpg"/>
            <a:graphic>
              <a:graphicData uri="http://schemas.openxmlformats.org/drawingml/2006/picture">
                <pic:pic>
                  <pic:nvPicPr>
                    <pic:cNvPr descr="A group of women sitting at a table with stuffed animals&#10;&#10;AI-generated content may be incorrect."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05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3.jpg"/><Relationship Id="rId13" Type="http://schemas.openxmlformats.org/officeDocument/2006/relationships/image" Target="media/image1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jpg"/><Relationship Id="rId14" Type="http://schemas.openxmlformats.org/officeDocument/2006/relationships/image" Target="media/image1.jpg"/><Relationship Id="rId17" Type="http://schemas.openxmlformats.org/officeDocument/2006/relationships/image" Target="media/image9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2.jp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