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402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Título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Monitoreo de carbono en humedales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Autores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Claudia Patricia Andramunio-Acero</w:t>
      </w:r>
      <w:r w:rsidDel="00000000" w:rsidR="00000000" w:rsidRPr="00000000">
        <w:rPr>
          <w:rFonts w:ascii="Arial" w:cs="Arial" w:eastAsia="Arial" w:hAnsi="Arial"/>
          <w:color w:val="000000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Mónica Tatiana López-Muñoz</w:t>
      </w:r>
      <w:r w:rsidDel="00000000" w:rsidR="00000000" w:rsidRPr="00000000">
        <w:rPr>
          <w:rFonts w:ascii="Arial" w:cs="Arial" w:eastAsia="Arial" w:hAnsi="Arial"/>
          <w:color w:val="000000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Lina María Parada Alzate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Yennifer García-Murcia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Yenny Beatriz Mendoza Plazas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y Yesid Fernando Rondón-Martínez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Destacado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Conocer el papel de los humedales en la captura y almacenamiento de carbono es fundamental para el diseño de acciones de conservación y mitigación del cambio climático en el Caribe colombiano.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Cuerpo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humedales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naturales son ecosistemas estratégicos para la mitigación y adaptación al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cambio climático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ya que actúan como sumideros de carbono y reductores de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gases de efecto invernadero (GEI)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obstante, se encuentran gravemente amenazados y aún se desconocen muchos de los impactos asociados 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su degradación. </w:t>
      </w:r>
      <w:r w:rsidDel="00000000" w:rsidR="00000000" w:rsidRPr="00000000">
        <w:rPr>
          <w:rFonts w:ascii="Arial" w:cs="Arial" w:eastAsia="Arial" w:hAnsi="Arial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 Colombia estos ecosistemas no están incluidos en las mediciones de GEI</w:t>
      </w:r>
      <w:r w:rsidDel="00000000" w:rsidR="00000000" w:rsidRPr="00000000">
        <w:rPr>
          <w:rFonts w:ascii="Arial" w:cs="Arial" w:eastAsia="Arial" w:hAnsi="Arial"/>
          <w:color w:val="000000"/>
          <w:highlight w:val="yellow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no figuran en el </w:t>
      </w:r>
      <w:r w:rsidDel="00000000" w:rsidR="00000000" w:rsidRPr="00000000">
        <w:rPr>
          <w:rFonts w:ascii="Arial" w:cs="Arial" w:eastAsia="Arial" w:hAnsi="Arial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istema de </w:t>
      </w:r>
      <w:r w:rsidDel="00000000" w:rsidR="00000000" w:rsidRPr="00000000">
        <w:rPr>
          <w:rFonts w:ascii="Arial" w:cs="Arial" w:eastAsia="Arial" w:hAnsi="Arial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onitoreo, </w:t>
      </w:r>
      <w:r w:rsidDel="00000000" w:rsidR="00000000" w:rsidRPr="00000000">
        <w:rPr>
          <w:rFonts w:ascii="Arial" w:cs="Arial" w:eastAsia="Arial" w:hAnsi="Arial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eporte y </w:t>
      </w:r>
      <w:r w:rsidDel="00000000" w:rsidR="00000000" w:rsidRPr="00000000">
        <w:rPr>
          <w:rFonts w:ascii="Arial" w:cs="Arial" w:eastAsia="Arial" w:hAnsi="Arial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erificación (MRV) de la meta de mitigación nacional, y tampoco </w:t>
      </w:r>
      <w:r w:rsidDel="00000000" w:rsidR="00000000" w:rsidRPr="00000000">
        <w:rPr>
          <w:rFonts w:ascii="Arial" w:cs="Arial" w:eastAsia="Arial" w:hAnsi="Arial"/>
          <w:rtl w:val="0"/>
        </w:rPr>
        <w:t xml:space="preserve">existen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metodologías estandarizadas que permitan cuantificar el carbono que almacenan.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36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La propuesta de</w:t>
      </w:r>
      <w:r w:rsidDel="00000000" w:rsidR="00000000" w:rsidRPr="00000000">
        <w:rPr>
          <w:rFonts w:ascii="Arial" w:cs="Arial" w:eastAsia="Arial" w:hAnsi="Arial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Protocolo para la estimación integral de contenidos de carbono y biodiversidad en humedales del Magdalena Medio y Bajo</w:t>
      </w:r>
      <w:r w:rsidDel="00000000" w:rsidR="00000000" w:rsidRPr="00000000">
        <w:rPr>
          <w:rFonts w:ascii="Arial" w:cs="Arial" w:eastAsia="Arial" w:hAnsi="Arial"/>
          <w:color w:val="000000"/>
          <w:highlight w:val="yellow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rtl w:val="0"/>
        </w:rPr>
        <w:t xml:space="preserve"> —documento desarrollado en el marco del proyecto CO</w:t>
      </w:r>
      <w:r w:rsidDel="00000000" w:rsidR="00000000" w:rsidRPr="00000000">
        <w:rPr>
          <w:rFonts w:ascii="Arial" w:cs="Arial" w:eastAsia="Arial" w:hAnsi="Arial"/>
          <w:highlight w:val="yellow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rtl w:val="0"/>
        </w:rPr>
        <w:t xml:space="preserve">-Humedales, fruto </w:t>
      </w:r>
      <w:r w:rsidDel="00000000" w:rsidR="00000000" w:rsidRPr="00000000">
        <w:rPr>
          <w:rFonts w:ascii="Arial" w:cs="Arial" w:eastAsia="Arial" w:hAnsi="Arial"/>
          <w:rtl w:val="0"/>
        </w:rPr>
        <w:t xml:space="preserve">del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convenio entre Fundación Natura y Ecopetrol</w:t>
      </w:r>
      <w:r w:rsidDel="00000000" w:rsidR="00000000" w:rsidRPr="00000000">
        <w:rPr>
          <w:rFonts w:ascii="Arial" w:cs="Arial" w:eastAsia="Arial" w:hAnsi="Arial"/>
          <w:rtl w:val="0"/>
        </w:rPr>
        <w:t xml:space="preserve">—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podría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contribuir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llenar este vacío, </w:t>
      </w:r>
      <w:r w:rsidDel="00000000" w:rsidR="00000000" w:rsidRPr="00000000">
        <w:rPr>
          <w:rFonts w:ascii="Arial" w:cs="Arial" w:eastAsia="Arial" w:hAnsi="Arial"/>
          <w:rtl w:val="0"/>
        </w:rPr>
        <w:t xml:space="preserve">al incluir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información clave sobre el monitoreo de la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biomasa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(aérea, subterránea y acuática), la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materia orgánica muerta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los suelos y los sedimentos, conforme</w:t>
      </w:r>
      <w:r w:rsidDel="00000000" w:rsidR="00000000" w:rsidRPr="00000000">
        <w:rPr>
          <w:rFonts w:ascii="Arial" w:cs="Arial" w:eastAsia="Arial" w:hAnsi="Arial"/>
          <w:rtl w:val="0"/>
        </w:rPr>
        <w:t xml:space="preserve"> 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las directrices del IPCC</w:t>
      </w:r>
      <w:r w:rsidDel="00000000" w:rsidR="00000000" w:rsidRPr="00000000">
        <w:rPr>
          <w:rFonts w:ascii="Arial" w:cs="Arial" w:eastAsia="Arial" w:hAnsi="Arial"/>
          <w:color w:val="000000"/>
          <w:highlight w:val="yellow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rtl w:val="0"/>
        </w:rPr>
        <w:t xml:space="preserve">En este protocolo, la biodiversidad no se concibe como un componente adicional en el diseño metodológico, sino como un eje transversal que dinamiza y moviliza el carbono contenido en los distintos compartimentos de los humedales.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firstLine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el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Complejo Cenagoso de Zapatosa (CCZ), esta metodología permitió estimar los contenidos de carbono en la biomasa (62,72 </w:t>
      </w:r>
      <w:r w:rsidDel="00000000" w:rsidR="00000000" w:rsidRPr="00000000">
        <w:rPr>
          <w:rFonts w:ascii="Arial" w:cs="Arial" w:eastAsia="Arial" w:hAnsi="Arial"/>
          <w:color w:val="000000"/>
          <w:u w:val="singl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10,45 t C/ha)</w:t>
      </w:r>
      <w:r w:rsidDel="00000000" w:rsidR="00000000" w:rsidRPr="00000000">
        <w:rPr>
          <w:rFonts w:ascii="Arial" w:cs="Arial" w:eastAsia="Arial" w:hAnsi="Arial"/>
          <w:color w:val="000000"/>
          <w:highlight w:val="yellow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valores bajos en comparación con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ecosistemas con condiciones similares, como bosques inundables y secundarios en Costa Rica (92,40 </w:t>
      </w:r>
      <w:r w:rsidDel="00000000" w:rsidR="00000000" w:rsidRPr="00000000">
        <w:rPr>
          <w:rFonts w:ascii="Arial" w:cs="Arial" w:eastAsia="Arial" w:hAnsi="Arial"/>
          <w:color w:val="000000"/>
          <w:u w:val="singl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11,30 t C/ha)</w:t>
      </w:r>
      <w:r w:rsidDel="00000000" w:rsidR="00000000" w:rsidRPr="00000000">
        <w:rPr>
          <w:rFonts w:ascii="Arial" w:cs="Arial" w:eastAsia="Arial" w:hAnsi="Arial"/>
          <w:color w:val="000000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y Brasil (94,25 </w:t>
      </w:r>
      <w:r w:rsidDel="00000000" w:rsidR="00000000" w:rsidRPr="00000000">
        <w:rPr>
          <w:rFonts w:ascii="Arial" w:cs="Arial" w:eastAsia="Arial" w:hAnsi="Arial"/>
          <w:color w:val="000000"/>
          <w:u w:val="singl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6,54 t C/ha)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rtl w:val="0"/>
        </w:rPr>
        <w:t xml:space="preserve">Esta diferencia se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asoci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con un </w:t>
      </w:r>
      <w:r w:rsidDel="00000000" w:rsidR="00000000" w:rsidRPr="00000000">
        <w:rPr>
          <w:rFonts w:ascii="Arial" w:cs="Arial" w:eastAsia="Arial" w:hAnsi="Arial"/>
          <w:rtl w:val="0"/>
        </w:rPr>
        <w:t xml:space="preserve">alto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grado de intervención, particularmente en zonas de transición y llanuras de inundación, debido al desarrollo de actividades como la ganadería. </w:t>
      </w:r>
      <w:r w:rsidDel="00000000" w:rsidR="00000000" w:rsidRPr="00000000">
        <w:rPr>
          <w:rFonts w:ascii="Arial" w:cs="Arial" w:eastAsia="Arial" w:hAnsi="Arial"/>
          <w:rtl w:val="0"/>
        </w:rPr>
        <w:t xml:space="preserve">Asimismo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se identificaron valores </w:t>
      </w:r>
      <w:r w:rsidDel="00000000" w:rsidR="00000000" w:rsidRPr="00000000">
        <w:rPr>
          <w:rFonts w:ascii="Arial" w:cs="Arial" w:eastAsia="Arial" w:hAnsi="Arial"/>
          <w:rtl w:val="0"/>
        </w:rPr>
        <w:t xml:space="preserve">elevados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 carbono almacenado en los suelos (22,84 a 103,73 tC/ha)</w:t>
      </w:r>
      <w:r w:rsidDel="00000000" w:rsidR="00000000" w:rsidRPr="00000000">
        <w:rPr>
          <w:rFonts w:ascii="Arial" w:cs="Arial" w:eastAsia="Arial" w:hAnsi="Arial"/>
          <w:color w:val="000000"/>
          <w:highlight w:val="yellow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lo </w:t>
      </w:r>
      <w:r w:rsidDel="00000000" w:rsidR="00000000" w:rsidRPr="00000000">
        <w:rPr>
          <w:rFonts w:ascii="Arial" w:cs="Arial" w:eastAsia="Arial" w:hAnsi="Arial"/>
          <w:rtl w:val="0"/>
        </w:rPr>
        <w:t xml:space="preserve">cual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sugiere que la descomposición de materia orgánica </w:t>
      </w:r>
      <w:r w:rsidDel="00000000" w:rsidR="00000000" w:rsidRPr="00000000">
        <w:rPr>
          <w:rFonts w:ascii="Arial" w:cs="Arial" w:eastAsia="Arial" w:hAnsi="Arial"/>
          <w:rtl w:val="0"/>
        </w:rPr>
        <w:t xml:space="preserve">desempeña un papel fundamental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El clima es un factor determinante en este proceso, ya que las altas temperaturas de la zona favorecen la actividad microbiana responsable de la descomposición, </w:t>
      </w:r>
      <w:r w:rsidDel="00000000" w:rsidR="00000000" w:rsidRPr="00000000">
        <w:rPr>
          <w:rFonts w:ascii="Arial" w:cs="Arial" w:eastAsia="Arial" w:hAnsi="Arial"/>
          <w:rtl w:val="0"/>
        </w:rPr>
        <w:t xml:space="preserve">lo que a su vez incrementa la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acumulaci</w:t>
      </w:r>
      <w:r w:rsidDel="00000000" w:rsidR="00000000" w:rsidRPr="00000000">
        <w:rPr>
          <w:rFonts w:ascii="Arial" w:cs="Arial" w:eastAsia="Arial" w:hAnsi="Arial"/>
          <w:rtl w:val="0"/>
        </w:rPr>
        <w:t xml:space="preserve">ón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de carbono.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 xml:space="preserve">El monitoreo de carbono </w:t>
      </w:r>
      <w:r w:rsidDel="00000000" w:rsidR="00000000" w:rsidRPr="00000000">
        <w:rPr>
          <w:rFonts w:ascii="Arial" w:cs="Arial" w:eastAsia="Arial" w:hAnsi="Arial"/>
          <w:rtl w:val="0"/>
        </w:rPr>
        <w:t xml:space="preserve">constituye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una herramienta fundamental para estimar el papel que desempeñan los humedales en el ciclo del carbono. Permite, por un lado, identificar, </w:t>
      </w:r>
      <w:r w:rsidDel="00000000" w:rsidR="00000000" w:rsidRPr="00000000">
        <w:rPr>
          <w:rFonts w:ascii="Arial" w:cs="Arial" w:eastAsia="Arial" w:hAnsi="Arial"/>
          <w:rtl w:val="0"/>
        </w:rPr>
        <w:t xml:space="preserve">comprender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y cuantificar los procesos de captura y almacenamiento en diferentes depósitos a lo largo del tiempo, y por otro, evaluar tanto sus efectos como las contribuciones de la biodiversidad a este ciclo. Este protocolo, con potencial de </w:t>
      </w:r>
      <w:r w:rsidDel="00000000" w:rsidR="00000000" w:rsidRPr="00000000">
        <w:rPr>
          <w:rFonts w:ascii="Arial" w:cs="Arial" w:eastAsia="Arial" w:hAnsi="Arial"/>
          <w:rtl w:val="0"/>
        </w:rPr>
        <w:t xml:space="preserve">ser replicado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otros escenarios, podría convertirse en un insumo clave para la toma de decisiones orientadas a la mitigación del cambio climático.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0"/>
        </w:tabs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Fichas relacionadas</w:t>
      </w:r>
    </w:p>
    <w:p w:rsidR="00000000" w:rsidDel="00000000" w:rsidP="00000000" w:rsidRDefault="00000000" w:rsidRPr="00000000" w14:paraId="00000012">
      <w:pP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BIO</w:t>
      </w:r>
      <w:r w:rsidDel="00000000" w:rsidR="00000000" w:rsidRPr="00000000">
        <w:rPr>
          <w:rFonts w:ascii="Arial" w:cs="Arial" w:eastAsia="Arial" w:hAnsi="Arial"/>
          <w:rtl w:val="0"/>
        </w:rPr>
        <w:t xml:space="preserve"> 2023: 102, 401 |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BIO</w:t>
      </w:r>
      <w:r w:rsidDel="00000000" w:rsidR="00000000" w:rsidRPr="00000000">
        <w:rPr>
          <w:rFonts w:ascii="Arial" w:cs="Arial" w:eastAsia="Arial" w:hAnsi="Arial"/>
          <w:rtl w:val="0"/>
        </w:rPr>
        <w:t xml:space="preserve"> 2021: 105, 211, 401, 404, 406, 415, 418 |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BIO</w:t>
      </w:r>
      <w:r w:rsidDel="00000000" w:rsidR="00000000" w:rsidRPr="00000000">
        <w:rPr>
          <w:rFonts w:ascii="Arial" w:cs="Arial" w:eastAsia="Arial" w:hAnsi="Arial"/>
          <w:rtl w:val="0"/>
        </w:rPr>
        <w:t xml:space="preserve"> 2019: 405</w:t>
      </w:r>
    </w:p>
    <w:p w:rsidR="00000000" w:rsidDel="00000000" w:rsidP="00000000" w:rsidRDefault="00000000" w:rsidRPr="00000000" w14:paraId="00000013">
      <w:pP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0"/>
        </w:tabs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Temáticas</w:t>
      </w:r>
    </w:p>
    <w:p w:rsidR="00000000" w:rsidDel="00000000" w:rsidP="00000000" w:rsidRDefault="00000000" w:rsidRPr="00000000" w14:paraId="00000015">
      <w:pPr>
        <w:tabs>
          <w:tab w:val="left" w:leader="none" w:pos="0"/>
        </w:tabs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Humedales, Cambio climático, Gestión de conocimiento, Monitoreo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Instituciones</w:t>
      </w:r>
    </w:p>
    <w:p w:rsidR="00000000" w:rsidDel="00000000" w:rsidP="00000000" w:rsidRDefault="00000000" w:rsidRPr="00000000" w14:paraId="00000018">
      <w:pP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 Fundación Natura Colombia.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Salidas gráficas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Salida 1 [gráfico].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Contenido total de carbono para el CCZ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67488" cy="399928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99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5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0.0000000000002"/>
        <w:gridCol w:w="5000"/>
        <w:tblGridChange w:id="0">
          <w:tblGrid>
            <w:gridCol w:w="670.0000000000002"/>
            <w:gridCol w:w="5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Carbono en la biomasa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09550" cy="20955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Reserva de carbono en el suelo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7815"/>
        <w:tblGridChange w:id="0">
          <w:tblGrid>
            <w:gridCol w:w="121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arenales con coberturas de cultivo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OM-Hz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Otros suelos minerales con coberturas de herbazales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AR-OVL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arenales con cobertura de otra vegetación leñosa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HM-C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Suelos de humedal con cobertura de cultivo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OM-F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Otros suelos minerales con coberturas forestales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HAC-OVL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Suelos de arcillas de alta actividad con coberturas de otra vegetación leñosa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OM-C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Otros suelos minerales con cobertura de cultivo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HM-G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Suelos de humedal con cobertura de pastizal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HAC-C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con arcillas de alta actividad y cobertura de cultivos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AR-G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Suelos arenales con cobertura de pastizales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AR-BI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Suelos de arenales con cobertura de bosque inundable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OM-OVL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Otros suelos minerales con cobertura otra vegetación leñosa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HAC-G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con arcillas de alta actividad con cobertura de pastizal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AR-W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arenal con cobertura de humedal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HM-OVL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humedal con cobertura otra vegetación leñosa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LAC-G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arcillas de baja actividad con cobertura de pastizal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HM-W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humedal con cobertura de humedal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HAC-BI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arcillas de alta actividad con cobertura de bosque inundable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Suelos de arcilla de alta actividad con cobertura forestal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AR-Hz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arenal con cobertura de herbazal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HAC-Hz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arcilla de alta actividad con cobertura de herbazal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arenal con cobertura forestal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OM-G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Otros suelos minerales con cobertura de pastizal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HAC-W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arcilla de alta actividad con cobertura de humedal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OM-W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Otros suelos minerales con cobertura de humedal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OM-BI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Otros suelos minerales con cobertura de bosque inundable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HM-F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Suelo de humedal con cobertura forestal</w:t>
            </w:r>
          </w:p>
        </w:tc>
      </w:tr>
    </w:tbl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Salida 2 [mapa].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Contenidos de carbono del CCZ (en t C/ha)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99593" cy="675630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593" cy="675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740.0" w:type="dxa"/>
        <w:jc w:val="left"/>
        <w:tblInd w:w="6382.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9.9999999999998"/>
        <w:gridCol w:w="5000"/>
        <w:tblGridChange w:id="0">
          <w:tblGrid>
            <w:gridCol w:w="739.9999999999998"/>
            <w:gridCol w:w="5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438150" cy="40005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aplica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23850" cy="314325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0,01-50,00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90525" cy="371475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50,01-59,80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466725" cy="428625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59,81-70,40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419100" cy="390525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70,41-92,80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61950" cy="314325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92,81-128,90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71475" cy="33337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128,91-149,60</w:t>
            </w:r>
          </w:p>
        </w:tc>
      </w:tr>
    </w:tbl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Salida 3 [ilustración]</w:t>
      </w:r>
    </w:p>
    <w:p w:rsidR="00000000" w:rsidDel="00000000" w:rsidP="00000000" w:rsidRDefault="00000000" w:rsidRPr="00000000" w14:paraId="0000006E">
      <w:pPr>
        <w:spacing w:after="0" w:before="0"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579000" cy="370068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9000" cy="370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Paisaje de la ciénaga de Zapatosa</w:t>
      </w:r>
    </w:p>
    <w:p w:rsidR="00000000" w:rsidDel="00000000" w:rsidP="00000000" w:rsidRDefault="00000000" w:rsidRPr="00000000" w14:paraId="00000070">
      <w:pPr>
        <w:spacing w:after="0" w:before="0"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Boceto ilustración </w:t>
      </w:r>
    </w:p>
    <w:p w:rsidR="00000000" w:rsidDel="00000000" w:rsidP="00000000" w:rsidRDefault="00000000" w:rsidRPr="00000000" w14:paraId="00000072">
      <w:pPr>
        <w:spacing w:after="0" w:before="0"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615113" cy="480836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480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mbr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>
        <w:rFonts w:ascii="Cambria" w:cs="Cambria" w:eastAsia="Cambria" w:hAnsi="Cambria"/>
        <w:color w:val="2e75b5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entury Gothic" w:cs="Century Gothic" w:eastAsia="Century Gothic" w:hAnsi="Century Gothic"/>
        <w:sz w:val="22"/>
        <w:szCs w:val="22"/>
        <w:lang w:val="es-CO"/>
      </w:rPr>
    </w:rPrDefault>
    <w:pPrDefault>
      <w:pPr>
        <w:spacing w:after="240" w:before="240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image" Target="media/image9.jp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