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404</w:t>
      </w:r>
    </w:p>
    <w:p w:rsidR="00000000" w:rsidDel="00000000" w:rsidP="00000000" w:rsidRDefault="00000000" w:rsidRPr="00000000" w14:paraId="00000002">
      <w:pPr>
        <w:pStyle w:val="Heading1"/>
        <w:spacing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Guajira: entre la crisis y la oportunidad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Subtítulo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 situacional para un futuro sostenible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Guajira enfrenta una alta vulnerabilidad socioambiental. Un análisis reciente identificó zonas prioritarias para la conservación, el desarrollo sostenible y la gestión de riesgos. Estas áreas podrían guiar decisiones clave para el futuro del departamento.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vertAlign w:val="superscrip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Yanneth Bagarozza Roldán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Laura Mariana Trujillo Arenas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Luis Gerardo Chaparro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y Ronald Ayazo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Colaboradores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Mauricio Gómez Barón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María Teresa Trujillo Benavidez, Daiver Pinto Pimienta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Alfredo Navas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Daniel Mauricio Cortez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Nazly Martínez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Arturo Chivara Pupo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y Jonathan Manrique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Instituciones colaboradoras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Minambiente, Instituto Humboldt, Invemar, ANLA, PNNC, Ideam, Corpoguajira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Cuerpo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Guajira </w:t>
      </w:r>
      <w:r w:rsidDel="00000000" w:rsidR="00000000" w:rsidRPr="00000000">
        <w:rPr>
          <w:rFonts w:ascii="Arial" w:cs="Arial" w:eastAsia="Arial" w:hAnsi="Arial"/>
          <w:rtl w:val="0"/>
        </w:rPr>
        <w:t xml:space="preserve">cuenta con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una gran diversidad ecológica y cultural. Alberga ecosistemas áridos,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bosques secos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manglares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y es el hogar ancestral del pueblo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wayúu, el grupo indígena más numeroso de Colombia. No obstante, enfrenta </w:t>
      </w:r>
      <w:r w:rsidDel="00000000" w:rsidR="00000000" w:rsidRPr="00000000">
        <w:rPr>
          <w:rFonts w:ascii="Arial" w:cs="Arial" w:eastAsia="Arial" w:hAnsi="Arial"/>
          <w:rtl w:val="0"/>
        </w:rPr>
        <w:t xml:space="preserve">importantes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desafíos, entre ellos</w:t>
      </w:r>
      <w:r w:rsidDel="00000000" w:rsidR="00000000" w:rsidRPr="00000000">
        <w:rPr>
          <w:rFonts w:ascii="Arial" w:cs="Arial" w:eastAsia="Arial" w:hAnsi="Arial"/>
          <w:rtl w:val="0"/>
        </w:rPr>
        <w:t xml:space="preserve"> la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pobreza extrema (p. ej., del 92,2 % en el municipio de Uribia)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 acceso limitado a servicios de salud, educación y agua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la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deforestación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los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conflictos socioambientales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derivados de la minería, las presiones sobre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ecosistemas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únicos como el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bosque seco tropical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subrepresentación del 57,8 % de sus biomas en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acional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reas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rotegidas (SINAP)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situación llevó al Gobierno a declarar el estado de emergencia para el departamento en julio de 2023 (Decreto 1085 de 2023), con el objetivo de generar instrumentos de prevención y reacción que eviten una crisis humanitaria y ecológica. En este contexto, mediante un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análisis situacional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, se evaluó la vulnerabilidad del territorio frente a presiones ambientales, sociales y económicas, y se identificaron las áreas más idóneas para gestionar distintos escenarios de intervención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4-6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42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análisis indica que el 95 % de los territorios clasificados con muy alta sensibilidad ambiental se concentra en los municipios de Uribia y Manaure, al norte del departamento, donde casi el 76 % del área está compuesta por zonas desérticas. Por su parte, casi toda el área de los municipios de Dibulla y Albania presenta un grado de sensibilidad alto, mientras que en los municipios de Riohacha y San Juan del Cesar predominan las áreas de sensibilidad moderada, especialmente en las zonas aledañas al piedemonte de la Sierra Nevada de Santa Marta.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42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estudio también arrojó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tres escenarios con áreas prioritarias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orientar las estrategias de desarrollo sostenible de La Guajira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Entre estas, se destacan: 1)  zonas estratégicas para la conservación y el abastecimiento de agua potable, especialmente al sur del departamento, donde la presencia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áreas protegidas</w:t>
      </w:r>
      <w:r w:rsidDel="00000000" w:rsidR="00000000" w:rsidRPr="00000000">
        <w:rPr>
          <w:rFonts w:ascii="Arial" w:cs="Arial" w:eastAsia="Arial" w:hAnsi="Arial"/>
          <w:rtl w:val="0"/>
        </w:rPr>
        <w:t xml:space="preserve"> y una mayor precipitación favorecen su desarrollo; 2) proyectos de energías no convencionales hacia el norte, caracterizado por altas velocidades de viento y radiación solar; y 3) la provisión de bienes, servicios y materias primas, principalmente en áreas protegidas como la Sierra Nevada de Santa Marta y Parque Nacional Natural Macuira. En todos los casos, la variabilidad en la capacidad de suministro de recursos naturales está determinada por su disponibilidad, la densidad poblacional y las actividades económicas y socioculturales.</w:t>
      </w:r>
    </w:p>
    <w:p w:rsidR="00000000" w:rsidDel="00000000" w:rsidP="00000000" w:rsidRDefault="00000000" w:rsidRPr="00000000" w14:paraId="00000019">
      <w:pPr>
        <w:spacing w:after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panorama ofrece una aproximación integral a los riesgos y oportunidades socioambientales en La Guajira y podría convertirse en insumo clave para la toma de decisiones a corto, mediano y largo plazo por parte de las autoridades ambientales. A su vez, la implementación de acciones y proyectos que busquen un equilibrio entre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conservación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la producción económica y el bienestar social redundará en beneficios para la población de esta región del país.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0"/>
        </w:tabs>
        <w:spacing w:after="0" w:line="360" w:lineRule="auto"/>
        <w:jc w:val="both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</w:t>
      </w:r>
      <w:r w:rsidDel="00000000" w:rsidR="00000000" w:rsidRPr="00000000">
        <w:rPr>
          <w:rFonts w:ascii="Aptos" w:cs="Aptos" w:eastAsia="Aptos" w:hAnsi="Aptos"/>
          <w:rtl w:val="0"/>
        </w:rPr>
        <w:t xml:space="preserve"> 2021: 304 |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</w:t>
      </w:r>
      <w:r w:rsidDel="00000000" w:rsidR="00000000" w:rsidRPr="00000000">
        <w:rPr>
          <w:rFonts w:ascii="Aptos" w:cs="Aptos" w:eastAsia="Aptos" w:hAnsi="Aptos"/>
          <w:rtl w:val="0"/>
        </w:rPr>
        <w:t xml:space="preserve"> 2020: 303, 403, 410, 412 |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</w:t>
      </w:r>
      <w:r w:rsidDel="00000000" w:rsidR="00000000" w:rsidRPr="00000000">
        <w:rPr>
          <w:rFonts w:ascii="Aptos" w:cs="Aptos" w:eastAsia="Aptos" w:hAnsi="Aptos"/>
          <w:rtl w:val="0"/>
        </w:rPr>
        <w:t xml:space="preserve"> 2019: 201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0"/>
        </w:tabs>
        <w:spacing w:after="0" w:line="360" w:lineRule="auto"/>
        <w:jc w:val="both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F">
      <w:pPr>
        <w:tabs>
          <w:tab w:val="left" w:leader="none" w:pos="0"/>
        </w:tabs>
        <w:spacing w:after="0"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Gestión territorial, Sistemas socioecológicos, Políticas públicas Interfaz ciencia-política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Minambiente; b. Instituto Humboldt.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Salidas gráficas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1 [mapa]. Mapa de sensibilidad territorial socioambiental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02275" cy="436787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4367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Grado de sensibilidad</w:t>
      </w:r>
      <w:r w:rsidDel="00000000" w:rsidR="00000000" w:rsidRPr="00000000">
        <w:rPr>
          <w:rtl w:val="0"/>
        </w:rPr>
      </w:r>
    </w:p>
    <w:tbl>
      <w:tblPr>
        <w:tblStyle w:val="Table1"/>
        <w:tblW w:w="2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55"/>
        <w:tblGridChange w:id="0">
          <w:tblGrid>
            <w:gridCol w:w="94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0500" cy="168519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85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0500" cy="18097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6850" cy="19685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Componentes de análisis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Atmosférico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Biótico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Cambio climático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Hídrico subterráneo</w:t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Hídrico superficial (calidad)</w:t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Hídrico superficial (cantidad)</w:t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Licenciamiento de proyectos</w:t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Marino-costero</w:t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Social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2 [mapa] Escenario 1. Disponibilidad de agua para la conservación del ambiente y el abastecimiento humano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60975" cy="4107544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10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Baja</w:t>
        <w:tab/>
        <w:tab/>
        <w:tab/>
        <w:t xml:space="preserve">Alta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09725" cy="133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Precipitación total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Ecosistemas estratégicos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Puntos de captación de agua subterránea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Grado de desertificación del suelo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Sensibilidad por variabilidad climática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Coberturas de la tierra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Población total por municipio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 de calidad de agua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 de vulnerabilidad al desabastecimiento hídrico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 de pobreza multidimensional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Arial" w:cs="Arial" w:eastAsia="Arial" w:hAnsi="Arial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3 [mapa]. Escenario 2. Análisis de idoneidad para proyectos de energías no convencionales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29388" cy="53735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373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Baja</w:t>
        <w:tab/>
        <w:tab/>
        <w:tab/>
        <w:t xml:space="preserve">Alta</w:t>
      </w:r>
    </w:p>
    <w:p w:rsidR="00000000" w:rsidDel="00000000" w:rsidP="00000000" w:rsidRDefault="00000000" w:rsidRPr="00000000" w14:paraId="00000051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47825" cy="142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478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54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Velocidad del viento</w:t>
      </w:r>
    </w:p>
    <w:p w:rsidR="00000000" w:rsidDel="00000000" w:rsidP="00000000" w:rsidRDefault="00000000" w:rsidRPr="00000000" w14:paraId="00000055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Radiación solar</w:t>
      </w:r>
    </w:p>
    <w:p w:rsidR="00000000" w:rsidDel="00000000" w:rsidP="00000000" w:rsidRDefault="00000000" w:rsidRPr="00000000" w14:paraId="00000056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Potencial ecoturístico</w:t>
      </w:r>
    </w:p>
    <w:p w:rsidR="00000000" w:rsidDel="00000000" w:rsidP="00000000" w:rsidRDefault="00000000" w:rsidRPr="00000000" w14:paraId="00000057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Erosión costera</w:t>
      </w:r>
    </w:p>
    <w:p w:rsidR="00000000" w:rsidDel="00000000" w:rsidP="00000000" w:rsidRDefault="00000000" w:rsidRPr="00000000" w14:paraId="00000058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Vulnerabilidad de ecosistemas marino-costeros</w:t>
      </w:r>
    </w:p>
    <w:p w:rsidR="00000000" w:rsidDel="00000000" w:rsidP="00000000" w:rsidRDefault="00000000" w:rsidRPr="00000000" w14:paraId="00000059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Potencial de aprovechamiento de energía eólica</w:t>
      </w:r>
    </w:p>
    <w:p w:rsidR="00000000" w:rsidDel="00000000" w:rsidP="00000000" w:rsidRDefault="00000000" w:rsidRPr="00000000" w14:paraId="0000005A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Territorios étnicos, resguardos, territorios colectivos, ZRC</w:t>
      </w:r>
    </w:p>
    <w:p w:rsidR="00000000" w:rsidDel="00000000" w:rsidP="00000000" w:rsidRDefault="00000000" w:rsidRPr="00000000" w14:paraId="0000005B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Presencia de organizaciones sociales y territoriales</w:t>
      </w:r>
    </w:p>
    <w:p w:rsidR="00000000" w:rsidDel="00000000" w:rsidP="00000000" w:rsidRDefault="00000000" w:rsidRPr="00000000" w14:paraId="0000005C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Conectividad de áreas protegidas</w:t>
      </w:r>
    </w:p>
    <w:p w:rsidR="00000000" w:rsidDel="00000000" w:rsidP="00000000" w:rsidRDefault="00000000" w:rsidRPr="00000000" w14:paraId="0000005D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Coberturas de la tierra</w:t>
      </w:r>
    </w:p>
    <w:p w:rsidR="00000000" w:rsidDel="00000000" w:rsidP="00000000" w:rsidRDefault="00000000" w:rsidRPr="00000000" w14:paraId="0000005E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Puntos de conflictos socioambientales</w:t>
      </w:r>
    </w:p>
    <w:p w:rsidR="00000000" w:rsidDel="00000000" w:rsidP="00000000" w:rsidRDefault="00000000" w:rsidRPr="00000000" w14:paraId="0000005F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Arial" w:cs="Arial" w:eastAsia="Arial" w:hAnsi="Arial"/>
          <w:i w:val="1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4 [mapa].  Escenario 3. Análisis de idoneidad para el aprovisionamiento de servicios socioculturales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10213" cy="418884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18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Baja</w:t>
        <w:tab/>
        <w:tab/>
        <w:tab/>
        <w:t xml:space="preserve">Alta</w:t>
      </w:r>
    </w:p>
    <w:p w:rsidR="00000000" w:rsidDel="00000000" w:rsidP="00000000" w:rsidRDefault="00000000" w:rsidRPr="00000000" w14:paraId="00000065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09725" cy="1428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097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68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Coberturas de la tierra</w:t>
      </w:r>
    </w:p>
    <w:p w:rsidR="00000000" w:rsidDel="00000000" w:rsidP="00000000" w:rsidRDefault="00000000" w:rsidRPr="00000000" w14:paraId="00000069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Conservación de áreas marinas</w:t>
      </w:r>
    </w:p>
    <w:p w:rsidR="00000000" w:rsidDel="00000000" w:rsidP="00000000" w:rsidRDefault="00000000" w:rsidRPr="00000000" w14:paraId="0000006A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Ecosistemas estratégicos</w:t>
      </w:r>
    </w:p>
    <w:p w:rsidR="00000000" w:rsidDel="00000000" w:rsidP="00000000" w:rsidRDefault="00000000" w:rsidRPr="00000000" w14:paraId="0000006B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Potencial de recarga de aguas submarinas</w:t>
      </w:r>
    </w:p>
    <w:p w:rsidR="00000000" w:rsidDel="00000000" w:rsidP="00000000" w:rsidRDefault="00000000" w:rsidRPr="00000000" w14:paraId="0000006C">
      <w:pPr>
        <w:spacing w:after="0"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Puntos de captación de agua subterránea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Territorios étnicos, resguardos, territorios colectivos, ZRC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Presencia de organizaciones sociales y territoriales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Potencial ecoturístico</w:t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Grado de desertificación del suelo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Prioridades de conectividad de áreas protegidas</w:t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Sensibilidad por cambio climático</w:t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Grado de amenaza de ecosistemas terrestres</w:t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 de calidad de agua</w:t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 de vulnerabilidad al desabastecimiento hídrico</w:t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Georgia"/>
  <w:font w:name="Arial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Verdana" w:cs="Verdana" w:eastAsia="Verdana" w:hAnsi="Verdan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