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b w:val="1"/>
          <w:sz w:val="40"/>
          <w:szCs w:val="40"/>
        </w:rPr>
      </w:pPr>
      <w:r w:rsidDel="00000000" w:rsidR="00000000" w:rsidRPr="00000000">
        <w:rPr>
          <w:b w:val="1"/>
          <w:sz w:val="40"/>
          <w:szCs w:val="40"/>
          <w:rtl w:val="0"/>
        </w:rPr>
        <w:t xml:space="preserve">411</w:t>
      </w:r>
    </w:p>
    <w:p w:rsidR="00000000" w:rsidDel="00000000" w:rsidP="00000000" w:rsidRDefault="00000000" w:rsidRPr="00000000" w14:paraId="00000002">
      <w:pPr>
        <w:spacing w:after="0" w:line="360" w:lineRule="auto"/>
        <w:rPr>
          <w:b w:val="1"/>
        </w:rPr>
      </w:pPr>
      <w:r w:rsidDel="00000000" w:rsidR="00000000" w:rsidRPr="00000000">
        <w:rPr>
          <w:b w:val="1"/>
          <w:rtl w:val="0"/>
        </w:rPr>
        <w:t xml:space="preserve">Título</w:t>
      </w:r>
    </w:p>
    <w:p w:rsidR="00000000" w:rsidDel="00000000" w:rsidP="00000000" w:rsidRDefault="00000000" w:rsidRPr="00000000" w14:paraId="00000003">
      <w:pPr>
        <w:spacing w:after="0" w:line="360" w:lineRule="auto"/>
        <w:rPr/>
      </w:pPr>
      <w:r w:rsidDel="00000000" w:rsidR="00000000" w:rsidRPr="00000000">
        <w:rPr>
          <w:rtl w:val="0"/>
        </w:rPr>
        <w:t xml:space="preserve">Valoración económica del capital natural</w:t>
      </w:r>
    </w:p>
    <w:p w:rsidR="00000000" w:rsidDel="00000000" w:rsidP="00000000" w:rsidRDefault="00000000" w:rsidRPr="00000000" w14:paraId="00000004">
      <w:pPr>
        <w:spacing w:after="0" w:line="360" w:lineRule="auto"/>
        <w:rPr>
          <w:b w:val="1"/>
        </w:rPr>
      </w:pPr>
      <w:r w:rsidDel="00000000" w:rsidR="00000000" w:rsidRPr="00000000">
        <w:rPr>
          <w:rtl w:val="0"/>
        </w:rPr>
      </w:r>
    </w:p>
    <w:p w:rsidR="00000000" w:rsidDel="00000000" w:rsidP="00000000" w:rsidRDefault="00000000" w:rsidRPr="00000000" w14:paraId="00000005">
      <w:pPr>
        <w:spacing w:after="0" w:line="360" w:lineRule="auto"/>
        <w:jc w:val="both"/>
        <w:rPr>
          <w:b w:val="1"/>
        </w:rPr>
      </w:pPr>
      <w:r w:rsidDel="00000000" w:rsidR="00000000" w:rsidRPr="00000000">
        <w:rPr>
          <w:b w:val="1"/>
          <w:rtl w:val="0"/>
        </w:rPr>
        <w:t xml:space="preserve">Autores</w:t>
      </w:r>
    </w:p>
    <w:p w:rsidR="00000000" w:rsidDel="00000000" w:rsidP="00000000" w:rsidRDefault="00000000" w:rsidRPr="00000000" w14:paraId="00000006">
      <w:pPr>
        <w:spacing w:after="0" w:line="360" w:lineRule="auto"/>
        <w:jc w:val="both"/>
        <w:rPr>
          <w:b w:val="1"/>
        </w:rPr>
      </w:pPr>
      <w:r w:rsidDel="00000000" w:rsidR="00000000" w:rsidRPr="00000000">
        <w:rPr>
          <w:rtl w:val="0"/>
        </w:rPr>
        <w:t xml:space="preserve">Cesar Augusto Ruiz-Agudelo</w:t>
      </w:r>
      <w:r w:rsidDel="00000000" w:rsidR="00000000" w:rsidRPr="00000000">
        <w:rPr>
          <w:highlight w:val="yellow"/>
          <w:vertAlign w:val="superscript"/>
          <w:rtl w:val="0"/>
        </w:rPr>
        <w:t xml:space="preserve">a,b</w:t>
      </w:r>
      <w:r w:rsidDel="00000000" w:rsidR="00000000" w:rsidRPr="00000000">
        <w:rPr>
          <w:rtl w:val="0"/>
        </w:rPr>
        <w:t xml:space="preserve"> y Francisco de Paula Gutiérrez-Bonilla</w:t>
      </w:r>
      <w:r w:rsidDel="00000000" w:rsidR="00000000" w:rsidRPr="00000000">
        <w:rPr>
          <w:highlight w:val="yellow"/>
          <w:vertAlign w:val="superscript"/>
          <w:rtl w:val="0"/>
        </w:rPr>
        <w:t xml:space="preserve">b</w:t>
      </w:r>
      <w:r w:rsidDel="00000000" w:rsidR="00000000" w:rsidRPr="00000000">
        <w:rPr>
          <w:rtl w:val="0"/>
        </w:rPr>
      </w:r>
    </w:p>
    <w:p w:rsidR="00000000" w:rsidDel="00000000" w:rsidP="00000000" w:rsidRDefault="00000000" w:rsidRPr="00000000" w14:paraId="00000007">
      <w:pPr>
        <w:spacing w:after="0" w:line="360" w:lineRule="auto"/>
        <w:rPr>
          <w:b w:val="1"/>
        </w:rPr>
      </w:pPr>
      <w:r w:rsidDel="00000000" w:rsidR="00000000" w:rsidRPr="00000000">
        <w:rPr>
          <w:rtl w:val="0"/>
        </w:rPr>
      </w:r>
    </w:p>
    <w:p w:rsidR="00000000" w:rsidDel="00000000" w:rsidP="00000000" w:rsidRDefault="00000000" w:rsidRPr="00000000" w14:paraId="00000008">
      <w:pPr>
        <w:spacing w:after="0" w:line="360" w:lineRule="auto"/>
        <w:rPr>
          <w:b w:val="1"/>
        </w:rPr>
      </w:pPr>
      <w:r w:rsidDel="00000000" w:rsidR="00000000" w:rsidRPr="00000000">
        <w:rPr>
          <w:b w:val="1"/>
          <w:rtl w:val="0"/>
        </w:rPr>
        <w:t xml:space="preserve">Destacado</w:t>
      </w:r>
    </w:p>
    <w:p w:rsidR="00000000" w:rsidDel="00000000" w:rsidP="00000000" w:rsidRDefault="00000000" w:rsidRPr="00000000" w14:paraId="00000009">
      <w:pPr>
        <w:spacing w:after="0" w:line="360" w:lineRule="auto"/>
        <w:jc w:val="both"/>
        <w:rPr/>
      </w:pPr>
      <w:r w:rsidDel="00000000" w:rsidR="00000000" w:rsidRPr="00000000">
        <w:rPr>
          <w:rtl w:val="0"/>
        </w:rPr>
        <w:t xml:space="preserve">La cuenca hidrográfica del Caribe colombiano ha perdido aproximadamente 77 000 millones de dólares de capital natural. Se estima que esta tendencia podría continuar debido a la rápida transformación del territorio asociada a la agroindustria.</w:t>
      </w:r>
    </w:p>
    <w:p w:rsidR="00000000" w:rsidDel="00000000" w:rsidP="00000000" w:rsidRDefault="00000000" w:rsidRPr="00000000" w14:paraId="0000000A">
      <w:pPr>
        <w:spacing w:after="0" w:line="360" w:lineRule="auto"/>
        <w:jc w:val="both"/>
        <w:rPr>
          <w:b w:val="1"/>
        </w:rPr>
      </w:pPr>
      <w:r w:rsidDel="00000000" w:rsidR="00000000" w:rsidRPr="00000000">
        <w:rPr>
          <w:rtl w:val="0"/>
        </w:rPr>
      </w:r>
    </w:p>
    <w:p w:rsidR="00000000" w:rsidDel="00000000" w:rsidP="00000000" w:rsidRDefault="00000000" w:rsidRPr="00000000" w14:paraId="0000000B">
      <w:pPr>
        <w:spacing w:after="0" w:line="360" w:lineRule="auto"/>
        <w:jc w:val="both"/>
        <w:rPr>
          <w:b w:val="1"/>
        </w:rPr>
      </w:pPr>
      <w:r w:rsidDel="00000000" w:rsidR="00000000" w:rsidRPr="00000000">
        <w:rPr>
          <w:b w:val="1"/>
          <w:rtl w:val="0"/>
        </w:rPr>
        <w:t xml:space="preserve">Cuerpo</w:t>
      </w:r>
    </w:p>
    <w:p w:rsidR="00000000" w:rsidDel="00000000" w:rsidP="00000000" w:rsidRDefault="00000000" w:rsidRPr="00000000" w14:paraId="0000000C">
      <w:pPr>
        <w:spacing w:after="0" w:line="360" w:lineRule="auto"/>
        <w:jc w:val="both"/>
        <w:rPr/>
      </w:pPr>
      <w:r w:rsidDel="00000000" w:rsidR="00000000" w:rsidRPr="00000000">
        <w:rPr>
          <w:rtl w:val="0"/>
        </w:rPr>
        <w:t xml:space="preserve">La cuenca hidrográfica del Caribe alberga aproximadamente 124 </w:t>
      </w:r>
      <w:r w:rsidDel="00000000" w:rsidR="00000000" w:rsidRPr="00000000">
        <w:rPr>
          <w:b w:val="1"/>
          <w:rtl w:val="0"/>
        </w:rPr>
        <w:t xml:space="preserve">biomas </w:t>
      </w:r>
      <w:r w:rsidDel="00000000" w:rsidR="00000000" w:rsidRPr="00000000">
        <w:rPr>
          <w:rtl w:val="0"/>
        </w:rPr>
        <w:t xml:space="preserve">y 70 </w:t>
      </w:r>
      <w:r w:rsidDel="00000000" w:rsidR="00000000" w:rsidRPr="00000000">
        <w:rPr>
          <w:b w:val="1"/>
          <w:rtl w:val="0"/>
        </w:rPr>
        <w:t xml:space="preserve">ecosistemas</w:t>
      </w:r>
      <w:r w:rsidDel="00000000" w:rsidR="00000000" w:rsidRPr="00000000">
        <w:rPr>
          <w:rtl w:val="0"/>
        </w:rPr>
        <w:t xml:space="preserve">, que en conjunto representan 10 millones de hectáreas del territorio nacional, de las cuales 4,6 millones están transformadas</w:t>
      </w:r>
      <w:r w:rsidDel="00000000" w:rsidR="00000000" w:rsidRPr="00000000">
        <w:rPr>
          <w:highlight w:val="yellow"/>
          <w:vertAlign w:val="superscript"/>
          <w:rtl w:val="0"/>
        </w:rPr>
        <w:t xml:space="preserve">1</w:t>
      </w:r>
      <w:r w:rsidDel="00000000" w:rsidR="00000000" w:rsidRPr="00000000">
        <w:rPr>
          <w:rtl w:val="0"/>
        </w:rPr>
        <w:t xml:space="preserve">. Cuantificar la riqueza natural de estos espacios en términos económicos, así como las pérdidas ocasionadas por diversos motores de </w:t>
      </w:r>
      <w:r w:rsidDel="00000000" w:rsidR="00000000" w:rsidRPr="00000000">
        <w:rPr>
          <w:b w:val="1"/>
          <w:rtl w:val="0"/>
        </w:rPr>
        <w:t xml:space="preserve">transformación </w:t>
      </w:r>
      <w:r w:rsidDel="00000000" w:rsidR="00000000" w:rsidRPr="00000000">
        <w:rPr>
          <w:rtl w:val="0"/>
        </w:rPr>
        <w:t xml:space="preserve">—como la minería, la ganadería extensiva, el turismo, problemas administrativos y patrones de ocupación del territorio</w:t>
      </w:r>
      <w:r w:rsidDel="00000000" w:rsidR="00000000" w:rsidRPr="00000000">
        <w:rPr>
          <w:highlight w:val="yellow"/>
          <w:vertAlign w:val="superscript"/>
          <w:rtl w:val="0"/>
        </w:rPr>
        <w:t xml:space="preserve">2</w:t>
      </w:r>
      <w:r w:rsidDel="00000000" w:rsidR="00000000" w:rsidRPr="00000000">
        <w:rPr>
          <w:rtl w:val="0"/>
        </w:rPr>
        <w:t xml:space="preserve">— constituye una herramienta poderosa, no solo para comprender los beneficios directos e indirectos de ciertos </w:t>
      </w:r>
      <w:r w:rsidDel="00000000" w:rsidR="00000000" w:rsidRPr="00000000">
        <w:rPr>
          <w:rtl w:val="0"/>
        </w:rPr>
        <w:t xml:space="preserve">activos naturales</w:t>
      </w:r>
      <w:r w:rsidDel="00000000" w:rsidR="00000000" w:rsidRPr="00000000">
        <w:rPr>
          <w:rtl w:val="0"/>
        </w:rPr>
        <w:t xml:space="preserve">, sino también para informar la toma de decisiones orientadas al desarrollo sostenible en la región.</w:t>
      </w:r>
    </w:p>
    <w:p w:rsidR="00000000" w:rsidDel="00000000" w:rsidP="00000000" w:rsidRDefault="00000000" w:rsidRPr="00000000" w14:paraId="0000000D">
      <w:pPr>
        <w:spacing w:after="0" w:line="360" w:lineRule="auto"/>
        <w:ind w:firstLine="720"/>
        <w:jc w:val="both"/>
        <w:rPr/>
      </w:pPr>
      <w:r w:rsidDel="00000000" w:rsidR="00000000" w:rsidRPr="00000000">
        <w:rPr>
          <w:rtl w:val="0"/>
        </w:rPr>
        <w:t xml:space="preserve">La valoración económica del capital natural —entendido como el conjunto de componentes bióticos y abióticos de un </w:t>
      </w:r>
      <w:r w:rsidDel="00000000" w:rsidR="00000000" w:rsidRPr="00000000">
        <w:rPr>
          <w:b w:val="1"/>
          <w:rtl w:val="0"/>
        </w:rPr>
        <w:t xml:space="preserve">ecosistema </w:t>
      </w:r>
      <w:r w:rsidDel="00000000" w:rsidR="00000000" w:rsidRPr="00000000">
        <w:rPr>
          <w:rtl w:val="0"/>
        </w:rPr>
        <w:t xml:space="preserve">que proporcionan un flujo continuo de bienes y servicios</w:t>
      </w:r>
      <w:r w:rsidDel="00000000" w:rsidR="00000000" w:rsidRPr="00000000">
        <w:rPr>
          <w:highlight w:val="yellow"/>
          <w:vertAlign w:val="superscript"/>
          <w:rtl w:val="0"/>
        </w:rPr>
        <w:t xml:space="preserve">3</w:t>
      </w:r>
      <w:r w:rsidDel="00000000" w:rsidR="00000000" w:rsidRPr="00000000">
        <w:rPr>
          <w:rtl w:val="0"/>
        </w:rPr>
        <w:t xml:space="preserve">— consiste en asignar valores monetarios a dichos bienes y servicios. Al aplicar esta metodología en la cuenca hidrográfica del Caribe, se estimó un valor de 260 000 millones de dólares en 2020. </w:t>
      </w:r>
      <w:r w:rsidDel="00000000" w:rsidR="00000000" w:rsidRPr="00000000">
        <w:rPr>
          <w:rtl w:val="0"/>
        </w:rPr>
        <w:t xml:space="preserve">Los biomas con mayores valores fueron el zonobioma húmedo tropical San Juan (52 000 millones), el zonobioma alternohígrico tropical Cartagena y delta del Magdalena (35 000 millones), y el zonobioma húmedo tropical Darién-Tacarcuna (25 400 millones)</w:t>
      </w:r>
      <w:r w:rsidDel="00000000" w:rsidR="00000000" w:rsidRPr="00000000">
        <w:rPr>
          <w:highlight w:val="yellow"/>
          <w:vertAlign w:val="superscript"/>
          <w:rtl w:val="0"/>
        </w:rPr>
        <w:t xml:space="preserve">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spacing w:after="0" w:line="360" w:lineRule="auto"/>
        <w:ind w:firstLine="720"/>
        <w:jc w:val="both"/>
        <w:rPr/>
      </w:pPr>
      <w:r w:rsidDel="00000000" w:rsidR="00000000" w:rsidRPr="00000000">
        <w:rPr>
          <w:rtl w:val="0"/>
        </w:rPr>
        <w:t xml:space="preserve">El análisis también reveló una pérdida de 77 100 millones de dólares (29 % del PIB colombiano) </w:t>
      </w:r>
      <w:r w:rsidDel="00000000" w:rsidR="00000000" w:rsidRPr="00000000">
        <w:rPr>
          <w:rtl w:val="0"/>
        </w:rPr>
        <w:t xml:space="preserve">como resultado del cambio de coberturas boscosas a sistemas productivos ganaderos, áreas urbanas, suelos desnudos y zonas mineras</w:t>
      </w:r>
      <w:r w:rsidDel="00000000" w:rsidR="00000000" w:rsidRPr="00000000">
        <w:rPr>
          <w:rtl w:val="0"/>
        </w:rPr>
        <w:t xml:space="preserve">, y un capital natural remanente —es decir, lo que queda en las cuencas del Caribe— de 183 000 millones (68 % del PIB colombiano). Los departamentos con mayores pérdidas de capital natural fueron Bolívar (38 000 millones), Córdoba (11 300 millones), Magdalena (5700 millones) y La Guajira (5100 millones); mientras que Chocó (138 000 millones), Norte de Santander (10 000 millones) y Córdoba (8000 millones) reportaron los mayores capitales de capital natural remanente</w:t>
      </w:r>
      <w:r w:rsidDel="00000000" w:rsidR="00000000" w:rsidRPr="00000000">
        <w:rPr>
          <w:highlight w:val="yellow"/>
          <w:vertAlign w:val="superscript"/>
          <w:rtl w:val="0"/>
        </w:rPr>
        <w:t xml:space="preserve">1</w:t>
      </w:r>
      <w:r w:rsidDel="00000000" w:rsidR="00000000" w:rsidRPr="00000000">
        <w:rPr>
          <w:rtl w:val="0"/>
        </w:rPr>
        <w:t xml:space="preserve">. </w:t>
      </w:r>
    </w:p>
    <w:p w:rsidR="00000000" w:rsidDel="00000000" w:rsidP="00000000" w:rsidRDefault="00000000" w:rsidRPr="00000000" w14:paraId="0000000F">
      <w:pPr>
        <w:spacing w:after="0" w:line="360" w:lineRule="auto"/>
        <w:ind w:firstLine="720"/>
        <w:jc w:val="both"/>
        <w:rPr/>
      </w:pPr>
      <w:r w:rsidDel="00000000" w:rsidR="00000000" w:rsidRPr="00000000">
        <w:rPr>
          <w:rtl w:val="0"/>
        </w:rPr>
        <w:t xml:space="preserve">Una modelación de escenarios futuros a 2030 sugiere pérdidas adicionales como resultado de la expansión de los sistemas ganaderos (45 000 millones), la producción de pasto Angleton (56 000 millones), el cultivo de cebolla cabezona (33 700 millones) y la producción de leche bovina (33 500 millones). A esto se suman pérdidas por 95 300 millones bajo escenarios de continuada dependencia de combustibles fósiles hacia 2050</w:t>
      </w:r>
      <w:r w:rsidDel="00000000" w:rsidR="00000000" w:rsidRPr="00000000">
        <w:rPr>
          <w:highlight w:val="yellow"/>
          <w:vertAlign w:val="superscript"/>
          <w:rtl w:val="0"/>
        </w:rPr>
        <w:t xml:space="preserve">1</w:t>
      </w:r>
      <w:r w:rsidDel="00000000" w:rsidR="00000000" w:rsidRPr="00000000">
        <w:rPr>
          <w:rtl w:val="0"/>
        </w:rPr>
        <w:t xml:space="preserve">. Si bien estos resultados presentan ciertas limitaciones, ofrecen indicios relevantes sobre los efectos del cambio en el uso del suelo, la necesidad de priorizar acciones de </w:t>
      </w:r>
      <w:r w:rsidDel="00000000" w:rsidR="00000000" w:rsidRPr="00000000">
        <w:rPr>
          <w:b w:val="1"/>
          <w:rtl w:val="0"/>
        </w:rPr>
        <w:t xml:space="preserve">conservación </w:t>
      </w:r>
      <w:r w:rsidDel="00000000" w:rsidR="00000000" w:rsidRPr="00000000">
        <w:rPr>
          <w:rtl w:val="0"/>
        </w:rPr>
        <w:t xml:space="preserve">en ecosistemas clave y la urgencia de revisar las figuras de </w:t>
      </w:r>
      <w:r w:rsidDel="00000000" w:rsidR="00000000" w:rsidRPr="00000000">
        <w:rPr>
          <w:b w:val="1"/>
          <w:rtl w:val="0"/>
        </w:rPr>
        <w:t xml:space="preserve">gobernanza </w:t>
      </w:r>
      <w:r w:rsidDel="00000000" w:rsidR="00000000" w:rsidRPr="00000000">
        <w:rPr>
          <w:rtl w:val="0"/>
        </w:rPr>
        <w:t xml:space="preserve">y protección en la región, dado que el 70 % del capital natural remanente se encuentra en </w:t>
      </w:r>
      <w:r w:rsidDel="00000000" w:rsidR="00000000" w:rsidRPr="00000000">
        <w:rPr>
          <w:b w:val="1"/>
          <w:rtl w:val="0"/>
        </w:rPr>
        <w:t xml:space="preserve">territorios de comunidades negras</w:t>
      </w:r>
      <w:r w:rsidDel="00000000" w:rsidR="00000000" w:rsidRPr="00000000">
        <w:rPr>
          <w:rtl w:val="0"/>
        </w:rPr>
        <w:t xml:space="preserve">, </w:t>
      </w:r>
      <w:r w:rsidDel="00000000" w:rsidR="00000000" w:rsidRPr="00000000">
        <w:rPr>
          <w:b w:val="1"/>
          <w:rtl w:val="0"/>
        </w:rPr>
        <w:t xml:space="preserve">resguardos indígenas</w:t>
      </w:r>
      <w:r w:rsidDel="00000000" w:rsidR="00000000" w:rsidRPr="00000000">
        <w:rPr>
          <w:rtl w:val="0"/>
        </w:rPr>
        <w:t xml:space="preserve"> y </w:t>
      </w:r>
      <w:r w:rsidDel="00000000" w:rsidR="00000000" w:rsidRPr="00000000">
        <w:rPr>
          <w:b w:val="1"/>
          <w:rtl w:val="0"/>
        </w:rPr>
        <w:t xml:space="preserve">áreas protegidas</w:t>
      </w:r>
      <w:r w:rsidDel="00000000" w:rsidR="00000000" w:rsidRPr="00000000">
        <w:rPr>
          <w:rtl w:val="0"/>
        </w:rPr>
        <w:t xml:space="preserve">.</w:t>
      </w:r>
    </w:p>
    <w:p w:rsidR="00000000" w:rsidDel="00000000" w:rsidP="00000000" w:rsidRDefault="00000000" w:rsidRPr="00000000" w14:paraId="00000010">
      <w:pPr>
        <w:spacing w:after="0" w:line="360" w:lineRule="auto"/>
        <w:jc w:val="both"/>
        <w:rPr/>
      </w:pPr>
      <w:r w:rsidDel="00000000" w:rsidR="00000000" w:rsidRPr="00000000">
        <w:rPr>
          <w:rtl w:val="0"/>
        </w:rPr>
      </w:r>
    </w:p>
    <w:p w:rsidR="00000000" w:rsidDel="00000000" w:rsidP="00000000" w:rsidRDefault="00000000" w:rsidRPr="00000000" w14:paraId="00000011">
      <w:pPr>
        <w:tabs>
          <w:tab w:val="left" w:leader="none" w:pos="0"/>
        </w:tabs>
        <w:spacing w:after="0" w:line="360" w:lineRule="auto"/>
        <w:jc w:val="both"/>
        <w:rPr>
          <w:b w:val="1"/>
        </w:rPr>
      </w:pPr>
      <w:r w:rsidDel="00000000" w:rsidR="00000000" w:rsidRPr="00000000">
        <w:rPr>
          <w:b w:val="1"/>
          <w:rtl w:val="0"/>
        </w:rPr>
        <w:t xml:space="preserve">Fichas relacionadas</w:t>
      </w:r>
    </w:p>
    <w:p w:rsidR="00000000" w:rsidDel="00000000" w:rsidP="00000000" w:rsidRDefault="00000000" w:rsidRPr="00000000" w14:paraId="00000012">
      <w:pPr>
        <w:spacing w:after="0" w:line="360" w:lineRule="auto"/>
        <w:jc w:val="both"/>
        <w:rPr/>
      </w:pPr>
      <w:r w:rsidDel="00000000" w:rsidR="00000000" w:rsidRPr="00000000">
        <w:rPr>
          <w:b w:val="1"/>
          <w:rtl w:val="0"/>
        </w:rPr>
        <w:t xml:space="preserve">BIO</w:t>
      </w:r>
      <w:r w:rsidDel="00000000" w:rsidR="00000000" w:rsidRPr="00000000">
        <w:rPr>
          <w:rtl w:val="0"/>
        </w:rPr>
        <w:t xml:space="preserve"> 2022: 205, 402 | </w:t>
      </w:r>
      <w:r w:rsidDel="00000000" w:rsidR="00000000" w:rsidRPr="00000000">
        <w:rPr>
          <w:b w:val="1"/>
          <w:rtl w:val="0"/>
        </w:rPr>
        <w:t xml:space="preserve">BIO </w:t>
      </w:r>
      <w:r w:rsidDel="00000000" w:rsidR="00000000" w:rsidRPr="00000000">
        <w:rPr>
          <w:rtl w:val="0"/>
        </w:rPr>
        <w:t xml:space="preserve">2021: 303, 416 | </w:t>
      </w:r>
      <w:r w:rsidDel="00000000" w:rsidR="00000000" w:rsidRPr="00000000">
        <w:rPr>
          <w:b w:val="1"/>
          <w:rtl w:val="0"/>
        </w:rPr>
        <w:t xml:space="preserve">BIO </w:t>
      </w:r>
      <w:r w:rsidDel="00000000" w:rsidR="00000000" w:rsidRPr="00000000">
        <w:rPr>
          <w:rtl w:val="0"/>
        </w:rPr>
        <w:t xml:space="preserve">2020: 412 | </w:t>
      </w:r>
      <w:r w:rsidDel="00000000" w:rsidR="00000000" w:rsidRPr="00000000">
        <w:rPr>
          <w:b w:val="1"/>
          <w:rtl w:val="0"/>
        </w:rPr>
        <w:t xml:space="preserve">BIO </w:t>
      </w:r>
      <w:r w:rsidDel="00000000" w:rsidR="00000000" w:rsidRPr="00000000">
        <w:rPr>
          <w:rtl w:val="0"/>
        </w:rPr>
        <w:t xml:space="preserve">2019: 201</w:t>
      </w:r>
    </w:p>
    <w:p w:rsidR="00000000" w:rsidDel="00000000" w:rsidP="00000000" w:rsidRDefault="00000000" w:rsidRPr="00000000" w14:paraId="00000013">
      <w:pPr>
        <w:tabs>
          <w:tab w:val="left" w:leader="none" w:pos="0"/>
        </w:tabs>
        <w:spacing w:after="0" w:line="360" w:lineRule="auto"/>
        <w:jc w:val="both"/>
        <w:rPr/>
      </w:pPr>
      <w:r w:rsidDel="00000000" w:rsidR="00000000" w:rsidRPr="00000000">
        <w:rPr>
          <w:rtl w:val="0"/>
        </w:rPr>
      </w:r>
    </w:p>
    <w:p w:rsidR="00000000" w:rsidDel="00000000" w:rsidP="00000000" w:rsidRDefault="00000000" w:rsidRPr="00000000" w14:paraId="00000014">
      <w:pPr>
        <w:tabs>
          <w:tab w:val="left" w:leader="none" w:pos="0"/>
        </w:tabs>
        <w:spacing w:after="0" w:line="360" w:lineRule="auto"/>
        <w:jc w:val="both"/>
        <w:rPr>
          <w:b w:val="1"/>
        </w:rPr>
      </w:pPr>
      <w:r w:rsidDel="00000000" w:rsidR="00000000" w:rsidRPr="00000000">
        <w:rPr>
          <w:b w:val="1"/>
          <w:rtl w:val="0"/>
        </w:rPr>
        <w:t xml:space="preserve">Temáticas</w:t>
      </w:r>
    </w:p>
    <w:p w:rsidR="00000000" w:rsidDel="00000000" w:rsidP="00000000" w:rsidRDefault="00000000" w:rsidRPr="00000000" w14:paraId="00000015">
      <w:pPr>
        <w:tabs>
          <w:tab w:val="left" w:leader="none" w:pos="0"/>
        </w:tabs>
        <w:spacing w:after="0" w:line="360" w:lineRule="auto"/>
        <w:jc w:val="both"/>
        <w:rPr/>
      </w:pPr>
      <w:r w:rsidDel="00000000" w:rsidR="00000000" w:rsidRPr="00000000">
        <w:rPr>
          <w:rtl w:val="0"/>
        </w:rPr>
        <w:t xml:space="preserve">Desarrollo económico, Transformación, Tendencia, Servicios ecosistémicos</w:t>
      </w:r>
    </w:p>
    <w:p w:rsidR="00000000" w:rsidDel="00000000" w:rsidP="00000000" w:rsidRDefault="00000000" w:rsidRPr="00000000" w14:paraId="00000016">
      <w:pPr>
        <w:spacing w:after="0" w:line="360" w:lineRule="auto"/>
        <w:jc w:val="both"/>
        <w:rPr/>
      </w:pPr>
      <w:r w:rsidDel="00000000" w:rsidR="00000000" w:rsidRPr="00000000">
        <w:rPr>
          <w:rtl w:val="0"/>
        </w:rPr>
      </w:r>
    </w:p>
    <w:p w:rsidR="00000000" w:rsidDel="00000000" w:rsidP="00000000" w:rsidRDefault="00000000" w:rsidRPr="00000000" w14:paraId="00000017">
      <w:pPr>
        <w:spacing w:after="0" w:line="360" w:lineRule="auto"/>
        <w:jc w:val="both"/>
        <w:rPr>
          <w:b w:val="1"/>
        </w:rPr>
      </w:pPr>
      <w:r w:rsidDel="00000000" w:rsidR="00000000" w:rsidRPr="00000000">
        <w:rPr>
          <w:b w:val="1"/>
          <w:rtl w:val="0"/>
        </w:rPr>
        <w:t xml:space="preserve">Instituciones</w:t>
      </w:r>
    </w:p>
    <w:p w:rsidR="00000000" w:rsidDel="00000000" w:rsidP="00000000" w:rsidRDefault="00000000" w:rsidRPr="00000000" w14:paraId="00000018">
      <w:pPr>
        <w:spacing w:after="0" w:line="360" w:lineRule="auto"/>
        <w:jc w:val="both"/>
        <w:rPr/>
      </w:pPr>
      <w:r w:rsidDel="00000000" w:rsidR="00000000" w:rsidRPr="00000000">
        <w:rPr>
          <w:rtl w:val="0"/>
        </w:rPr>
        <w:t xml:space="preserve">a. RINA Consulting INC; b. Universidad Jorge Tadeo Lozano.</w:t>
      </w:r>
    </w:p>
    <w:p w:rsidR="00000000" w:rsidDel="00000000" w:rsidP="00000000" w:rsidRDefault="00000000" w:rsidRPr="00000000" w14:paraId="00000019">
      <w:pPr>
        <w:spacing w:after="0" w:line="360" w:lineRule="auto"/>
        <w:jc w:val="both"/>
        <w:rPr/>
      </w:pPr>
      <w:r w:rsidDel="00000000" w:rsidR="00000000" w:rsidRPr="00000000">
        <w:rPr>
          <w:rtl w:val="0"/>
        </w:rPr>
      </w:r>
    </w:p>
    <w:p w:rsidR="00000000" w:rsidDel="00000000" w:rsidP="00000000" w:rsidRDefault="00000000" w:rsidRPr="00000000" w14:paraId="0000001A">
      <w:pPr>
        <w:spacing w:after="0" w:line="360" w:lineRule="auto"/>
        <w:jc w:val="both"/>
        <w:rPr>
          <w:b w:val="1"/>
        </w:rPr>
      </w:pPr>
      <w:r w:rsidDel="00000000" w:rsidR="00000000" w:rsidRPr="00000000">
        <w:rPr>
          <w:b w:val="1"/>
          <w:rtl w:val="0"/>
        </w:rPr>
        <w:t xml:space="preserve">Salidas gráficas</w:t>
      </w:r>
    </w:p>
    <w:p w:rsidR="00000000" w:rsidDel="00000000" w:rsidP="00000000" w:rsidRDefault="00000000" w:rsidRPr="00000000" w14:paraId="0000001B">
      <w:pPr>
        <w:spacing w:after="0" w:line="360" w:lineRule="auto"/>
        <w:jc w:val="both"/>
        <w:rPr/>
      </w:pPr>
      <w:r w:rsidDel="00000000" w:rsidR="00000000" w:rsidRPr="00000000">
        <w:rPr>
          <w:rtl w:val="0"/>
        </w:rPr>
      </w:r>
    </w:p>
    <w:p w:rsidR="00000000" w:rsidDel="00000000" w:rsidP="00000000" w:rsidRDefault="00000000" w:rsidRPr="00000000" w14:paraId="0000001C">
      <w:pPr>
        <w:spacing w:after="0" w:line="360" w:lineRule="auto"/>
        <w:jc w:val="both"/>
        <w:rPr/>
      </w:pPr>
      <w:r w:rsidDel="00000000" w:rsidR="00000000" w:rsidRPr="00000000">
        <w:rPr>
          <w:b w:val="1"/>
          <w:rtl w:val="0"/>
        </w:rPr>
        <w:t xml:space="preserve">Salida 1 [mapa]. Pérdida de capital natural en la cuenca hidrográfica del Caribe (en dólares)</w:t>
      </w:r>
      <w:r w:rsidDel="00000000" w:rsidR="00000000" w:rsidRPr="00000000">
        <w:rPr>
          <w:rtl w:val="0"/>
        </w:rPr>
      </w:r>
    </w:p>
    <w:p w:rsidR="00000000" w:rsidDel="00000000" w:rsidP="00000000" w:rsidRDefault="00000000" w:rsidRPr="00000000" w14:paraId="0000001D">
      <w:pPr>
        <w:spacing w:after="0" w:line="360" w:lineRule="auto"/>
        <w:jc w:val="both"/>
        <w:rPr/>
      </w:pPr>
      <w:r w:rsidDel="00000000" w:rsidR="00000000" w:rsidRPr="00000000">
        <w:rPr>
          <w:rtl w:val="0"/>
        </w:rPr>
      </w:r>
    </w:p>
    <w:p w:rsidR="00000000" w:rsidDel="00000000" w:rsidP="00000000" w:rsidRDefault="00000000" w:rsidRPr="00000000" w14:paraId="0000001E">
      <w:pPr>
        <w:spacing w:after="0" w:line="360" w:lineRule="auto"/>
        <w:jc w:val="both"/>
        <w:rPr/>
      </w:pPr>
      <w:r w:rsidDel="00000000" w:rsidR="00000000" w:rsidRPr="00000000">
        <w:rPr/>
        <w:drawing>
          <wp:inline distB="114300" distT="114300" distL="114300" distR="114300">
            <wp:extent cx="6486525" cy="5322567"/>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486525" cy="532256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360" w:lineRule="auto"/>
        <w:jc w:val="both"/>
        <w:rPr/>
      </w:pPr>
      <w:r w:rsidDel="00000000" w:rsidR="00000000" w:rsidRPr="00000000">
        <w:rPr>
          <w:rtl w:val="0"/>
        </w:rPr>
      </w:r>
    </w:p>
    <w:p w:rsidR="00000000" w:rsidDel="00000000" w:rsidP="00000000" w:rsidRDefault="00000000" w:rsidRPr="00000000" w14:paraId="00000020">
      <w:pPr>
        <w:spacing w:after="0" w:line="360" w:lineRule="auto"/>
        <w:jc w:val="both"/>
        <w:rPr/>
      </w:pPr>
      <w:r w:rsidDel="00000000" w:rsidR="00000000" w:rsidRPr="00000000">
        <w:rPr>
          <w:rtl w:val="0"/>
        </w:rPr>
      </w:r>
    </w:p>
    <w:tbl>
      <w:tblPr>
        <w:tblStyle w:val="Table1"/>
        <w:tblW w:w="7460.0" w:type="dxa"/>
        <w:jc w:val="left"/>
        <w:tblInd w:w="6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1520"/>
        <w:gridCol w:w="5000"/>
        <w:tblGridChange w:id="0">
          <w:tblGrid>
            <w:gridCol w:w="940"/>
            <w:gridCol w:w="152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2875" cy="133350"/>
                  <wp:effectExtent b="0" l="0" r="0" t="0"/>
                  <wp:docPr id="8"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42875" cy="133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Muy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$ 0 - $ 410 285 966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2875" cy="142875"/>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$ 410 285 966 - $ 1 164 040 227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4300" cy="133350"/>
                  <wp:effectExtent b="0" l="0" r="0" t="0"/>
                  <wp:docPr id="2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114300" cy="133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$ 1 164 040 227 - $ 2 372 618 217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2875" cy="152400"/>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2875" cy="15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$ 2 372 618 217 - $ 6 757 730 515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3825" cy="1428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3825" cy="1428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$ 6 757 730 515 - $ 33 255 900 039</w:t>
            </w:r>
          </w:p>
        </w:tc>
      </w:tr>
    </w:tbl>
    <w:p w:rsidR="00000000" w:rsidDel="00000000" w:rsidP="00000000" w:rsidRDefault="00000000" w:rsidRPr="00000000" w14:paraId="00000030">
      <w:pPr>
        <w:spacing w:after="0" w:line="360" w:lineRule="auto"/>
        <w:jc w:val="both"/>
        <w:rPr/>
      </w:pPr>
      <w:r w:rsidDel="00000000" w:rsidR="00000000" w:rsidRPr="00000000">
        <w:rPr>
          <w:rtl w:val="0"/>
        </w:rPr>
      </w:r>
    </w:p>
    <w:p w:rsidR="00000000" w:rsidDel="00000000" w:rsidP="00000000" w:rsidRDefault="00000000" w:rsidRPr="00000000" w14:paraId="00000031">
      <w:pPr>
        <w:spacing w:after="0" w:line="360" w:lineRule="auto"/>
        <w:jc w:val="both"/>
        <w:rPr>
          <w:b w:val="1"/>
        </w:rPr>
      </w:pPr>
      <w:r w:rsidDel="00000000" w:rsidR="00000000" w:rsidRPr="00000000">
        <w:rPr>
          <w:b w:val="1"/>
          <w:rtl w:val="0"/>
        </w:rPr>
        <w:t xml:space="preserve">Salida 2 [mapa]. Pérdida de capital natural por departamento (en dólares)</w:t>
      </w:r>
    </w:p>
    <w:p w:rsidR="00000000" w:rsidDel="00000000" w:rsidP="00000000" w:rsidRDefault="00000000" w:rsidRPr="00000000" w14:paraId="00000032">
      <w:pPr>
        <w:spacing w:after="0" w:line="360" w:lineRule="auto"/>
        <w:jc w:val="both"/>
        <w:rPr>
          <w:b w:val="1"/>
        </w:rPr>
      </w:pPr>
      <w:r w:rsidDel="00000000" w:rsidR="00000000" w:rsidRPr="00000000">
        <w:rPr>
          <w:rtl w:val="0"/>
        </w:rPr>
      </w:r>
    </w:p>
    <w:p w:rsidR="00000000" w:rsidDel="00000000" w:rsidP="00000000" w:rsidRDefault="00000000" w:rsidRPr="00000000" w14:paraId="00000033">
      <w:pPr>
        <w:spacing w:after="0" w:line="360" w:lineRule="auto"/>
        <w:jc w:val="both"/>
        <w:rPr>
          <w:b w:val="1"/>
        </w:rPr>
      </w:pPr>
      <w:r w:rsidDel="00000000" w:rsidR="00000000" w:rsidRPr="00000000">
        <w:rPr>
          <w:b w:val="1"/>
        </w:rPr>
        <w:drawing>
          <wp:inline distB="114300" distT="114300" distL="114300" distR="114300">
            <wp:extent cx="6448425" cy="5691841"/>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448425" cy="5691841"/>
                    </a:xfrm>
                    <a:prstGeom prst="rect"/>
                    <a:ln/>
                  </pic:spPr>
                </pic:pic>
              </a:graphicData>
            </a:graphic>
          </wp:inline>
        </w:drawing>
      </w:r>
      <w:r w:rsidDel="00000000" w:rsidR="00000000" w:rsidRPr="00000000">
        <w:rPr>
          <w:rtl w:val="0"/>
        </w:rPr>
      </w:r>
    </w:p>
    <w:tbl>
      <w:tblPr>
        <w:tblStyle w:val="Table2"/>
        <w:tblW w:w="5810.0" w:type="dxa"/>
        <w:jc w:val="left"/>
        <w:tblInd w:w="627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5000"/>
        <w:tblGridChange w:id="0">
          <w:tblGrid>
            <w:gridCol w:w="81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09563" cy="294084"/>
                  <wp:effectExtent b="0" l="0" r="0" t="0"/>
                  <wp:docPr id="2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09563" cy="29408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$ 1 027 864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28613" cy="328613"/>
                  <wp:effectExtent b="0" l="0" r="0" t="0"/>
                  <wp:docPr id="15"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328613" cy="3286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b w:val="1"/>
              </w:rPr>
            </w:pPr>
            <w:r w:rsidDel="00000000" w:rsidR="00000000" w:rsidRPr="00000000">
              <w:rPr>
                <w:rtl w:val="0"/>
              </w:rPr>
              <w:t xml:space="preserve">$ 19 316 355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19088" cy="335042"/>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9088" cy="33504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b w:val="1"/>
              </w:rPr>
            </w:pPr>
            <w:r w:rsidDel="00000000" w:rsidR="00000000" w:rsidRPr="00000000">
              <w:rPr>
                <w:rtl w:val="0"/>
              </w:rPr>
              <w:t xml:space="preserve">$ 37 791 587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14350" cy="485775"/>
                  <wp:effectExtent b="0" l="0" r="0" t="0"/>
                  <wp:docPr id="3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14350" cy="485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b w:val="1"/>
              </w:rPr>
            </w:pPr>
            <w:r w:rsidDel="00000000" w:rsidR="00000000" w:rsidRPr="00000000">
              <w:rPr>
                <w:rtl w:val="0"/>
              </w:rPr>
              <w:t xml:space="preserve">$ 53 036 973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57200" cy="438150"/>
                  <wp:effectExtent b="0" l="0" r="0" t="0"/>
                  <wp:docPr id="1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57200" cy="4381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b w:val="1"/>
              </w:rPr>
            </w:pPr>
            <w:r w:rsidDel="00000000" w:rsidR="00000000" w:rsidRPr="00000000">
              <w:rPr>
                <w:rtl w:val="0"/>
              </w:rPr>
              <w:t xml:space="preserve">$ 3 556 851 893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95300" cy="438150"/>
                  <wp:effectExtent b="0" l="0" r="0" t="0"/>
                  <wp:docPr id="22"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495300" cy="4381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rPr>
            </w:pPr>
            <w:r w:rsidDel="00000000" w:rsidR="00000000" w:rsidRPr="00000000">
              <w:rPr>
                <w:rtl w:val="0"/>
              </w:rPr>
              <w:t xml:space="preserve">$ 3 595 506 142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76250" cy="409575"/>
                  <wp:effectExtent b="0" l="0" r="0" t="0"/>
                  <wp:docPr id="28"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476250" cy="4095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b w:val="1"/>
              </w:rPr>
            </w:pPr>
            <w:r w:rsidDel="00000000" w:rsidR="00000000" w:rsidRPr="00000000">
              <w:rPr>
                <w:rtl w:val="0"/>
              </w:rPr>
              <w:t xml:space="preserve">$ 4 781 154 888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23875" cy="466725"/>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23875" cy="466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rPr>
            </w:pPr>
            <w:r w:rsidDel="00000000" w:rsidR="00000000" w:rsidRPr="00000000">
              <w:rPr>
                <w:rtl w:val="0"/>
              </w:rPr>
              <w:t xml:space="preserve">$ 4 962 862 845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76250" cy="457200"/>
                  <wp:effectExtent b="0" l="0" r="0" t="0"/>
                  <wp:docPr id="3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76250"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rPr>
            </w:pPr>
            <w:r w:rsidDel="00000000" w:rsidR="00000000" w:rsidRPr="00000000">
              <w:rPr>
                <w:rtl w:val="0"/>
              </w:rPr>
              <w:t xml:space="preserve">$ 5 061 877 869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28625" cy="390525"/>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28625" cy="390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b w:val="1"/>
              </w:rPr>
            </w:pPr>
            <w:r w:rsidDel="00000000" w:rsidR="00000000" w:rsidRPr="00000000">
              <w:rPr>
                <w:rtl w:val="0"/>
              </w:rPr>
              <w:t xml:space="preserve">$ 5 737 163 098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76250" cy="438150"/>
                  <wp:effectExtent b="0" l="0" r="0" t="0"/>
                  <wp:docPr id="10"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476250" cy="4381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b w:val="1"/>
              </w:rPr>
            </w:pPr>
            <w:r w:rsidDel="00000000" w:rsidR="00000000" w:rsidRPr="00000000">
              <w:rPr>
                <w:rtl w:val="0"/>
              </w:rPr>
              <w:t xml:space="preserve">$ 11 344 930 040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57200" cy="428625"/>
                  <wp:effectExtent b="0" l="0" r="0" t="0"/>
                  <wp:docPr id="1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57200" cy="428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b w:val="1"/>
              </w:rPr>
            </w:pPr>
            <w:r w:rsidDel="00000000" w:rsidR="00000000" w:rsidRPr="00000000">
              <w:rPr>
                <w:rtl w:val="0"/>
              </w:rPr>
              <w:t xml:space="preserve">$ 37 986 940 532</w:t>
            </w:r>
            <w:r w:rsidDel="00000000" w:rsidR="00000000" w:rsidRPr="00000000">
              <w:rPr>
                <w:rtl w:val="0"/>
              </w:rPr>
            </w:r>
          </w:p>
        </w:tc>
      </w:tr>
    </w:tbl>
    <w:p w:rsidR="00000000" w:rsidDel="00000000" w:rsidP="00000000" w:rsidRDefault="00000000" w:rsidRPr="00000000" w14:paraId="0000004C">
      <w:pPr>
        <w:spacing w:after="0" w:line="360" w:lineRule="auto"/>
        <w:jc w:val="both"/>
        <w:rPr>
          <w:b w:val="1"/>
        </w:rPr>
      </w:pPr>
      <w:r w:rsidDel="00000000" w:rsidR="00000000" w:rsidRPr="00000000">
        <w:rPr>
          <w:rtl w:val="0"/>
        </w:rPr>
      </w:r>
    </w:p>
    <w:p w:rsidR="00000000" w:rsidDel="00000000" w:rsidP="00000000" w:rsidRDefault="00000000" w:rsidRPr="00000000" w14:paraId="0000004D">
      <w:pPr>
        <w:spacing w:after="0" w:line="360" w:lineRule="auto"/>
        <w:jc w:val="both"/>
        <w:rPr>
          <w:b w:val="1"/>
        </w:rPr>
      </w:pPr>
      <w:r w:rsidDel="00000000" w:rsidR="00000000" w:rsidRPr="00000000">
        <w:rPr>
          <w:b w:val="1"/>
          <w:rtl w:val="0"/>
        </w:rPr>
        <w:t xml:space="preserve">Salida 3 [mapa]. Capital natural remanente por departamento (en dólares).</w:t>
      </w:r>
    </w:p>
    <w:p w:rsidR="00000000" w:rsidDel="00000000" w:rsidP="00000000" w:rsidRDefault="00000000" w:rsidRPr="00000000" w14:paraId="0000004E">
      <w:pPr>
        <w:spacing w:after="0" w:line="360" w:lineRule="auto"/>
        <w:jc w:val="both"/>
        <w:rPr/>
      </w:pPr>
      <w:r w:rsidDel="00000000" w:rsidR="00000000" w:rsidRPr="00000000">
        <w:rPr/>
        <w:drawing>
          <wp:inline distB="114300" distT="114300" distL="114300" distR="114300">
            <wp:extent cx="11258550" cy="10144125"/>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1258550" cy="101441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360" w:lineRule="auto"/>
        <w:jc w:val="both"/>
        <w:rPr>
          <w:b w:val="1"/>
        </w:rPr>
      </w:pPr>
      <w:r w:rsidDel="00000000" w:rsidR="00000000" w:rsidRPr="00000000">
        <w:rPr>
          <w:rtl w:val="0"/>
        </w:rPr>
      </w:r>
    </w:p>
    <w:tbl>
      <w:tblPr>
        <w:tblStyle w:val="Table3"/>
        <w:tblW w:w="5810.0" w:type="dxa"/>
        <w:jc w:val="left"/>
        <w:tblInd w:w="627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5000"/>
        <w:tblGridChange w:id="0">
          <w:tblGrid>
            <w:gridCol w:w="81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b w:val="1"/>
              </w:rPr>
            </w:pPr>
            <w:r w:rsidDel="00000000" w:rsidR="00000000" w:rsidRPr="00000000">
              <w:rPr>
                <w:b w:val="1"/>
              </w:rPr>
              <w:drawing>
                <wp:inline distB="114300" distT="114300" distL="114300" distR="114300">
                  <wp:extent cx="476250" cy="476250"/>
                  <wp:effectExtent b="0" l="0" r="0" t="0"/>
                  <wp:docPr id="2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$ 113890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b w:val="1"/>
              </w:rPr>
            </w:pPr>
            <w:r w:rsidDel="00000000" w:rsidR="00000000" w:rsidRPr="00000000">
              <w:rPr>
                <w:b w:val="1"/>
              </w:rPr>
              <w:drawing>
                <wp:inline distB="114300" distT="114300" distL="114300" distR="114300">
                  <wp:extent cx="485775" cy="409575"/>
                  <wp:effectExtent b="0" l="0" r="0" t="0"/>
                  <wp:docPr id="30"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485775" cy="4095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b w:val="1"/>
              </w:rPr>
            </w:pPr>
            <w:r w:rsidDel="00000000" w:rsidR="00000000" w:rsidRPr="00000000">
              <w:rPr>
                <w:rtl w:val="0"/>
              </w:rPr>
              <w:t xml:space="preserve">$ 60 847 750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b w:val="1"/>
              </w:rPr>
            </w:pPr>
            <w:r w:rsidDel="00000000" w:rsidR="00000000" w:rsidRPr="00000000">
              <w:rPr>
                <w:b w:val="1"/>
              </w:rPr>
              <w:drawing>
                <wp:inline distB="114300" distT="114300" distL="114300" distR="114300">
                  <wp:extent cx="428625" cy="400050"/>
                  <wp:effectExtent b="0" l="0" r="0" t="0"/>
                  <wp:docPr id="2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28625" cy="400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b w:val="1"/>
              </w:rPr>
            </w:pPr>
            <w:r w:rsidDel="00000000" w:rsidR="00000000" w:rsidRPr="00000000">
              <w:rPr>
                <w:rtl w:val="0"/>
              </w:rPr>
              <w:t xml:space="preserve">$ 200 045 328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b w:val="1"/>
              </w:rPr>
            </w:pPr>
            <w:r w:rsidDel="00000000" w:rsidR="00000000" w:rsidRPr="00000000">
              <w:rPr>
                <w:b w:val="1"/>
              </w:rPr>
              <w:drawing>
                <wp:inline distB="114300" distT="114300" distL="114300" distR="114300">
                  <wp:extent cx="409575" cy="400050"/>
                  <wp:effectExtent b="0" l="0" r="0" t="0"/>
                  <wp:docPr id="17"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409575" cy="400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b w:val="1"/>
              </w:rPr>
            </w:pPr>
            <w:r w:rsidDel="00000000" w:rsidR="00000000" w:rsidRPr="00000000">
              <w:rPr>
                <w:rtl w:val="0"/>
              </w:rPr>
              <w:t xml:space="preserve">$ 205 910 990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b w:val="1"/>
              </w:rPr>
            </w:pPr>
            <w:r w:rsidDel="00000000" w:rsidR="00000000" w:rsidRPr="00000000">
              <w:rPr>
                <w:b w:val="1"/>
              </w:rPr>
              <w:drawing>
                <wp:inline distB="114300" distT="114300" distL="114300" distR="114300">
                  <wp:extent cx="419100" cy="428625"/>
                  <wp:effectExtent b="0" l="0" r="0" t="0"/>
                  <wp:docPr id="19"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19100" cy="428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rPr>
            </w:pPr>
            <w:r w:rsidDel="00000000" w:rsidR="00000000" w:rsidRPr="00000000">
              <w:rPr>
                <w:rtl w:val="0"/>
              </w:rPr>
              <w:t xml:space="preserve">$ 1 755 641 915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b w:val="1"/>
              </w:rPr>
            </w:pPr>
            <w:r w:rsidDel="00000000" w:rsidR="00000000" w:rsidRPr="00000000">
              <w:rPr>
                <w:b w:val="1"/>
              </w:rPr>
              <w:drawing>
                <wp:inline distB="114300" distT="114300" distL="114300" distR="114300">
                  <wp:extent cx="447675" cy="428625"/>
                  <wp:effectExtent b="0" l="0" r="0" t="0"/>
                  <wp:docPr id="4"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47675" cy="428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rPr>
            </w:pPr>
            <w:r w:rsidDel="00000000" w:rsidR="00000000" w:rsidRPr="00000000">
              <w:rPr>
                <w:rtl w:val="0"/>
              </w:rPr>
              <w:t xml:space="preserve">$ 2 325 528 398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b w:val="1"/>
              </w:rPr>
            </w:pPr>
            <w:r w:rsidDel="00000000" w:rsidR="00000000" w:rsidRPr="00000000">
              <w:rPr>
                <w:b w:val="1"/>
              </w:rPr>
              <w:drawing>
                <wp:inline distB="114300" distT="114300" distL="114300" distR="114300">
                  <wp:extent cx="381000" cy="390525"/>
                  <wp:effectExtent b="0" l="0" r="0" t="0"/>
                  <wp:docPr id="12"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81000" cy="390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b w:val="1"/>
              </w:rPr>
            </w:pPr>
            <w:r w:rsidDel="00000000" w:rsidR="00000000" w:rsidRPr="00000000">
              <w:rPr>
                <w:rtl w:val="0"/>
              </w:rPr>
              <w:t xml:space="preserve">$ 6 726 383 568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b w:val="1"/>
              </w:rPr>
            </w:pPr>
            <w:r w:rsidDel="00000000" w:rsidR="00000000" w:rsidRPr="00000000">
              <w:rPr>
                <w:b w:val="1"/>
              </w:rPr>
              <w:drawing>
                <wp:inline distB="114300" distT="114300" distL="114300" distR="114300">
                  <wp:extent cx="419100" cy="428625"/>
                  <wp:effectExtent b="0" l="0" r="0" t="0"/>
                  <wp:docPr id="26"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419100" cy="428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b w:val="1"/>
              </w:rPr>
            </w:pPr>
            <w:r w:rsidDel="00000000" w:rsidR="00000000" w:rsidRPr="00000000">
              <w:rPr>
                <w:rtl w:val="0"/>
              </w:rPr>
              <w:t xml:space="preserve">$ 7 234 110 674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b w:val="1"/>
              </w:rPr>
            </w:pPr>
            <w:r w:rsidDel="00000000" w:rsidR="00000000" w:rsidRPr="00000000">
              <w:rPr>
                <w:b w:val="1"/>
              </w:rPr>
              <w:drawing>
                <wp:inline distB="114300" distT="114300" distL="114300" distR="114300">
                  <wp:extent cx="419100" cy="381000"/>
                  <wp:effectExtent b="0" l="0" r="0" t="0"/>
                  <wp:docPr id="23"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4191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b w:val="1"/>
              </w:rPr>
            </w:pPr>
            <w:r w:rsidDel="00000000" w:rsidR="00000000" w:rsidRPr="00000000">
              <w:rPr>
                <w:rtl w:val="0"/>
              </w:rPr>
              <w:t xml:space="preserve">$ 7 912 724 657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rPr>
            </w:pPr>
            <w:r w:rsidDel="00000000" w:rsidR="00000000" w:rsidRPr="00000000">
              <w:rPr>
                <w:b w:val="1"/>
              </w:rPr>
              <w:drawing>
                <wp:inline distB="114300" distT="114300" distL="114300" distR="114300">
                  <wp:extent cx="457200" cy="428625"/>
                  <wp:effectExtent b="0" l="0" r="0" t="0"/>
                  <wp:docPr id="24"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457200" cy="428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b w:val="1"/>
              </w:rPr>
            </w:pPr>
            <w:r w:rsidDel="00000000" w:rsidR="00000000" w:rsidRPr="00000000">
              <w:rPr>
                <w:rtl w:val="0"/>
              </w:rPr>
              <w:t xml:space="preserve">$ 8 056 092 733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b w:val="1"/>
              </w:rPr>
            </w:pPr>
            <w:r w:rsidDel="00000000" w:rsidR="00000000" w:rsidRPr="00000000">
              <w:rPr>
                <w:b w:val="1"/>
              </w:rPr>
              <w:drawing>
                <wp:inline distB="114300" distT="114300" distL="114300" distR="114300">
                  <wp:extent cx="428625" cy="371475"/>
                  <wp:effectExtent b="0" l="0" r="0" t="0"/>
                  <wp:docPr id="25"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428625" cy="3714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b w:val="1"/>
              </w:rPr>
            </w:pPr>
            <w:r w:rsidDel="00000000" w:rsidR="00000000" w:rsidRPr="00000000">
              <w:rPr>
                <w:rtl w:val="0"/>
              </w:rPr>
              <w:t xml:space="preserve">$ 10 415 968 435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b w:val="1"/>
              </w:rPr>
            </w:pPr>
            <w:r w:rsidDel="00000000" w:rsidR="00000000" w:rsidRPr="00000000">
              <w:rPr>
                <w:b w:val="1"/>
              </w:rPr>
              <w:drawing>
                <wp:inline distB="114300" distT="114300" distL="114300" distR="114300">
                  <wp:extent cx="438150" cy="390525"/>
                  <wp:effectExtent b="0" l="0" r="0" t="0"/>
                  <wp:docPr id="2"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438150" cy="390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rPr>
            </w:pPr>
            <w:r w:rsidDel="00000000" w:rsidR="00000000" w:rsidRPr="00000000">
              <w:rPr>
                <w:rtl w:val="0"/>
              </w:rPr>
              <w:t xml:space="preserve">$ 138 021 529 522</w:t>
            </w:r>
            <w:r w:rsidDel="00000000" w:rsidR="00000000" w:rsidRPr="00000000">
              <w:rPr>
                <w:rtl w:val="0"/>
              </w:rPr>
            </w:r>
          </w:p>
        </w:tc>
      </w:tr>
    </w:tbl>
    <w:p w:rsidR="00000000" w:rsidDel="00000000" w:rsidP="00000000" w:rsidRDefault="00000000" w:rsidRPr="00000000" w14:paraId="00000068">
      <w:pPr>
        <w:spacing w:after="0" w:line="360" w:lineRule="auto"/>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1.png"/><Relationship Id="rId21" Type="http://schemas.openxmlformats.org/officeDocument/2006/relationships/image" Target="media/image19.png"/><Relationship Id="rId24" Type="http://schemas.openxmlformats.org/officeDocument/2006/relationships/image" Target="media/image6.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22.png"/><Relationship Id="rId25" Type="http://schemas.openxmlformats.org/officeDocument/2006/relationships/image" Target="media/image8.png"/><Relationship Id="rId28" Type="http://schemas.openxmlformats.org/officeDocument/2006/relationships/image" Target="media/image9.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1.png"/><Relationship Id="rId7" Type="http://schemas.openxmlformats.org/officeDocument/2006/relationships/image" Target="media/image24.png"/><Relationship Id="rId8" Type="http://schemas.openxmlformats.org/officeDocument/2006/relationships/image" Target="media/image10.png"/><Relationship Id="rId31" Type="http://schemas.openxmlformats.org/officeDocument/2006/relationships/image" Target="media/image15.png"/><Relationship Id="rId30" Type="http://schemas.openxmlformats.org/officeDocument/2006/relationships/image" Target="media/image7.png"/><Relationship Id="rId11" Type="http://schemas.openxmlformats.org/officeDocument/2006/relationships/image" Target="media/image2.png"/><Relationship Id="rId33" Type="http://schemas.openxmlformats.org/officeDocument/2006/relationships/image" Target="media/image28.png"/><Relationship Id="rId10" Type="http://schemas.openxmlformats.org/officeDocument/2006/relationships/image" Target="media/image4.png"/><Relationship Id="rId32" Type="http://schemas.openxmlformats.org/officeDocument/2006/relationships/image" Target="media/image5.png"/><Relationship Id="rId13" Type="http://schemas.openxmlformats.org/officeDocument/2006/relationships/image" Target="media/image18.png"/><Relationship Id="rId35" Type="http://schemas.openxmlformats.org/officeDocument/2006/relationships/image" Target="media/image16.png"/><Relationship Id="rId12" Type="http://schemas.openxmlformats.org/officeDocument/2006/relationships/image" Target="media/image14.png"/><Relationship Id="rId34" Type="http://schemas.openxmlformats.org/officeDocument/2006/relationships/image" Target="media/image17.png"/><Relationship Id="rId15" Type="http://schemas.openxmlformats.org/officeDocument/2006/relationships/image" Target="media/image1.png"/><Relationship Id="rId37" Type="http://schemas.openxmlformats.org/officeDocument/2006/relationships/image" Target="media/image20.png"/><Relationship Id="rId14" Type="http://schemas.openxmlformats.org/officeDocument/2006/relationships/image" Target="media/image29.png"/><Relationship Id="rId36" Type="http://schemas.openxmlformats.org/officeDocument/2006/relationships/image" Target="media/image23.png"/><Relationship Id="rId17" Type="http://schemas.openxmlformats.org/officeDocument/2006/relationships/image" Target="media/image3.png"/><Relationship Id="rId16" Type="http://schemas.openxmlformats.org/officeDocument/2006/relationships/image" Target="media/image32.png"/><Relationship Id="rId19" Type="http://schemas.openxmlformats.org/officeDocument/2006/relationships/image" Target="media/image27.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