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63B1" w14:textId="49A5CC6E" w:rsidR="00A158C0" w:rsidRDefault="00A158C0" w:rsidP="00EC2C15">
      <w:pPr>
        <w:jc w:val="both"/>
      </w:pPr>
      <w:r>
        <w:t>W</w:t>
      </w:r>
      <w:r w:rsidR="004B5A03">
        <w:t>oods plot</w:t>
      </w:r>
      <w:r>
        <w:t>s by timepoint are a similar representation to the global woods plot from the previous section. To access it, select the desired timepoint in the dropdown menu and click show woods plot.</w:t>
      </w:r>
    </w:p>
    <w:p w14:paraId="3461208D" w14:textId="77777777" w:rsidR="00A158C0" w:rsidRDefault="00A158C0"/>
    <w:p w14:paraId="34D3BA46" w14:textId="6EDF8899" w:rsidR="00A158C0" w:rsidRDefault="00EC2C15" w:rsidP="00EC2C1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0FAB1" wp14:editId="5C02C040">
                <wp:simplePos x="0" y="0"/>
                <wp:positionH relativeFrom="column">
                  <wp:posOffset>1662478</wp:posOffset>
                </wp:positionH>
                <wp:positionV relativeFrom="paragraph">
                  <wp:posOffset>1861038</wp:posOffset>
                </wp:positionV>
                <wp:extent cx="1016876" cy="204951"/>
                <wp:effectExtent l="25400" t="0" r="12065" b="622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876" cy="204951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A59E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0.9pt;margin-top:146.55pt;width:80.05pt;height:16.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" strokecolor="#ed7d31 [3205]" strokeweight="1.25pt">
                <v:stroke endarrow="block" joinstyle="miter"/>
              </v:shape>
            </w:pict>
          </mc:Fallback>
        </mc:AlternateContent>
      </w:r>
      <w:r w:rsidR="00A158C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FB876" wp14:editId="3733003F">
                <wp:simplePos x="0" y="0"/>
                <wp:positionH relativeFrom="column">
                  <wp:posOffset>2774731</wp:posOffset>
                </wp:positionH>
                <wp:positionV relativeFrom="paragraph">
                  <wp:posOffset>1655270</wp:posOffset>
                </wp:positionV>
                <wp:extent cx="2349062" cy="409903"/>
                <wp:effectExtent l="0" t="0" r="1333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062" cy="409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11390" w14:textId="1490DB1C" w:rsidR="00A158C0" w:rsidRPr="00A158C0" w:rsidRDefault="00A158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58C0">
                              <w:rPr>
                                <w:sz w:val="20"/>
                                <w:szCs w:val="20"/>
                              </w:rPr>
                              <w:t xml:space="preserve">Select the desired </w:t>
                            </w:r>
                            <w:r w:rsidR="006034D9">
                              <w:rPr>
                                <w:sz w:val="20"/>
                                <w:szCs w:val="20"/>
                              </w:rPr>
                              <w:t xml:space="preserve">labeling </w:t>
                            </w:r>
                            <w:r w:rsidRPr="00A158C0">
                              <w:rPr>
                                <w:sz w:val="20"/>
                                <w:szCs w:val="20"/>
                              </w:rPr>
                              <w:t>timepoint and click show woods plot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9FB87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18.5pt;margin-top:130.35pt;width:184.95pt;height:3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0FROAIAAHwEAAAOAAAAZHJzL2Uyb0RvYy54bWysVE1v2zAMvQ/YfxB0X+x8NGuMOEWWIsOA&#13;&#10;oi2QDj0rshQbk0VNUmJnv36U7Hy022nYRaZE6ol8fPT8rq0VOQjrKtA5HQ5SSoTmUFR6l9PvL+tP&#13;&#10;t5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" fillcolor="white [3201]" strokeweight=".5pt">
                <v:textbox>
                  <w:txbxContent>
                    <w:p w14:paraId="15211390" w14:textId="1490DB1C" w:rsidR="00A158C0" w:rsidRPr="00A158C0" w:rsidRDefault="00A158C0">
                      <w:pPr>
                        <w:rPr>
                          <w:sz w:val="20"/>
                          <w:szCs w:val="20"/>
                        </w:rPr>
                      </w:pPr>
                      <w:r w:rsidRPr="00A158C0">
                        <w:rPr>
                          <w:sz w:val="20"/>
                          <w:szCs w:val="20"/>
                        </w:rPr>
                        <w:t xml:space="preserve">Select the desired </w:t>
                      </w:r>
                      <w:r w:rsidR="006034D9">
                        <w:rPr>
                          <w:sz w:val="20"/>
                          <w:szCs w:val="20"/>
                        </w:rPr>
                        <w:t xml:space="preserve">labeling </w:t>
                      </w:r>
                      <w:r w:rsidRPr="00A158C0">
                        <w:rPr>
                          <w:sz w:val="20"/>
                          <w:szCs w:val="20"/>
                        </w:rPr>
                        <w:t>timepoint and click show woods plot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158C0">
        <w:rPr>
          <w:noProof/>
        </w:rPr>
        <w:drawing>
          <wp:inline distT="0" distB="0" distL="0" distR="0" wp14:anchorId="51167A0F" wp14:editId="18FFF850">
            <wp:extent cx="5520559" cy="4165600"/>
            <wp:effectExtent l="0" t="0" r="444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1"/>
                    <a:stretch/>
                  </pic:blipFill>
                  <pic:spPr bwMode="auto">
                    <a:xfrm>
                      <a:off x="0" y="0"/>
                      <a:ext cx="5520559" cy="416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A3023" w14:textId="77777777" w:rsidR="00A158C0" w:rsidRDefault="00A158C0"/>
    <w:p w14:paraId="0032C131" w14:textId="77777777" w:rsidR="00767E7C" w:rsidRDefault="00EC2C15" w:rsidP="00BF1770">
      <w:pPr>
        <w:jc w:val="both"/>
        <w:rPr>
          <w:rFonts w:ascii="Calibri" w:hAnsi="Calibri" w:cs="Calibri"/>
          <w:color w:val="000000"/>
        </w:rPr>
      </w:pPr>
      <w:r>
        <w:t xml:space="preserve">In this representation, </w:t>
      </w:r>
      <w:r w:rsidR="004B5A03">
        <w:rPr>
          <w:rFonts w:ascii="Calibri" w:hAnsi="Calibri" w:cs="Calibri"/>
          <w:color w:val="000000"/>
        </w:rPr>
        <w:t xml:space="preserve">peptides are plotted as rectangles with different colors depending on the results of the statistical analysis (see previous section). The x-axis represents the </w:t>
      </w:r>
      <w:r w:rsidR="00BF1770">
        <w:rPr>
          <w:rFonts w:ascii="Calibri" w:hAnsi="Calibri" w:cs="Calibri"/>
          <w:color w:val="000000"/>
        </w:rPr>
        <w:t>protein residues, and</w:t>
      </w:r>
      <w:r w:rsidR="004B5A03">
        <w:rPr>
          <w:rFonts w:ascii="Calibri" w:hAnsi="Calibri" w:cs="Calibri"/>
          <w:color w:val="000000"/>
        </w:rPr>
        <w:t xml:space="preserve"> the y-axis has</w:t>
      </w:r>
      <w:r w:rsidR="00BF1770">
        <w:rPr>
          <w:rFonts w:ascii="Calibri" w:hAnsi="Calibri" w:cs="Calibri"/>
          <w:color w:val="000000"/>
        </w:rPr>
        <w:t xml:space="preserve"> magnitude of the differences</w:t>
      </w:r>
      <w:r w:rsidR="004B5A03">
        <w:rPr>
          <w:rFonts w:ascii="Calibri" w:hAnsi="Calibri" w:cs="Calibri"/>
          <w:color w:val="000000"/>
        </w:rPr>
        <w:t>.</w:t>
      </w:r>
      <w:r w:rsidR="004B5A03">
        <w:rPr>
          <w:rStyle w:val="apple-converted-space"/>
          <w:rFonts w:ascii="Calibri" w:hAnsi="Calibri" w:cs="Calibri"/>
          <w:color w:val="000000"/>
        </w:rPr>
        <w:t> </w:t>
      </w:r>
      <w:r w:rsidR="004B5A03">
        <w:rPr>
          <w:rFonts w:ascii="Calibri" w:hAnsi="Calibri" w:cs="Calibri"/>
          <w:color w:val="000000"/>
        </w:rPr>
        <w:t xml:space="preserve"> Colored in gray, are </w:t>
      </w:r>
      <w:r w:rsidR="00BF1770">
        <w:rPr>
          <w:rFonts w:ascii="Calibri" w:hAnsi="Calibri" w:cs="Calibri"/>
          <w:color w:val="000000"/>
        </w:rPr>
        <w:t xml:space="preserve">peptides considered </w:t>
      </w:r>
      <w:r w:rsidR="004B5A03">
        <w:rPr>
          <w:rFonts w:ascii="Calibri" w:hAnsi="Calibri" w:cs="Calibri"/>
          <w:color w:val="000000"/>
        </w:rPr>
        <w:t>not statistically significant. In red, peptides with increased flexibility (positive</w:t>
      </w:r>
      <w:r w:rsidR="004B5A03">
        <w:rPr>
          <w:rStyle w:val="apple-converted-space"/>
          <w:rFonts w:ascii="Calibri" w:hAnsi="Calibri" w:cs="Calibri"/>
          <w:color w:val="000000"/>
        </w:rPr>
        <w:t> </w:t>
      </w:r>
      <w:proofErr w:type="spellStart"/>
      <w:r w:rsidR="004B5A03">
        <w:rPr>
          <w:rStyle w:val="spelle"/>
          <w:rFonts w:ascii="Calibri" w:hAnsi="Calibri" w:cs="Calibri"/>
          <w:color w:val="000000"/>
        </w:rPr>
        <w:t>deltaD</w:t>
      </w:r>
      <w:proofErr w:type="spellEnd"/>
      <w:r w:rsidR="004B5A03">
        <w:rPr>
          <w:rStyle w:val="apple-converted-space"/>
          <w:rFonts w:ascii="Calibri" w:hAnsi="Calibri" w:cs="Calibri"/>
          <w:color w:val="000000"/>
        </w:rPr>
        <w:t> </w:t>
      </w:r>
      <w:r w:rsidR="004B5A03">
        <w:rPr>
          <w:rFonts w:ascii="Calibri" w:hAnsi="Calibri" w:cs="Calibri"/>
          <w:color w:val="000000"/>
        </w:rPr>
        <w:t>values (state 2-state ref)). In blue, peptides with increased protection in the HDX experiment (negative</w:t>
      </w:r>
      <w:r w:rsidR="004B5A03">
        <w:rPr>
          <w:rStyle w:val="apple-converted-space"/>
          <w:rFonts w:ascii="Calibri" w:hAnsi="Calibri" w:cs="Calibri"/>
          <w:color w:val="000000"/>
        </w:rPr>
        <w:t> </w:t>
      </w:r>
      <w:proofErr w:type="spellStart"/>
      <w:r w:rsidR="004B5A03">
        <w:rPr>
          <w:rStyle w:val="spelle"/>
          <w:rFonts w:ascii="Calibri" w:hAnsi="Calibri" w:cs="Calibri"/>
          <w:color w:val="000000"/>
        </w:rPr>
        <w:t>deltaD</w:t>
      </w:r>
      <w:proofErr w:type="spellEnd"/>
      <w:r w:rsidR="004B5A03">
        <w:rPr>
          <w:rStyle w:val="apple-converted-space"/>
          <w:rFonts w:ascii="Calibri" w:hAnsi="Calibri" w:cs="Calibri"/>
          <w:color w:val="000000"/>
        </w:rPr>
        <w:t> </w:t>
      </w:r>
      <w:r w:rsidR="004B5A03">
        <w:rPr>
          <w:rFonts w:ascii="Calibri" w:hAnsi="Calibri" w:cs="Calibri"/>
          <w:color w:val="000000"/>
        </w:rPr>
        <w:t>values (state 2-state ref)).</w:t>
      </w:r>
      <w:r w:rsidR="00BF1770">
        <w:rPr>
          <w:rFonts w:ascii="Calibri" w:hAnsi="Calibri" w:cs="Calibri"/>
          <w:color w:val="000000"/>
        </w:rPr>
        <w:t xml:space="preserve"> </w:t>
      </w:r>
      <w:r w:rsidR="00BF1770" w:rsidRPr="00BF1770">
        <w:rPr>
          <w:rFonts w:ascii="Calibri" w:hAnsi="Calibri" w:cs="Calibri"/>
          <w:color w:val="000000"/>
        </w:rPr>
        <w:t>Global statistical threshold as in the hybrid significant test is also included in this representation (red dashed lines).</w:t>
      </w:r>
      <w:r w:rsidR="00BF1770">
        <w:rPr>
          <w:rFonts w:ascii="Calibri" w:hAnsi="Calibri" w:cs="Calibri"/>
          <w:color w:val="000000"/>
        </w:rPr>
        <w:t xml:space="preserve"> </w:t>
      </w:r>
    </w:p>
    <w:p w14:paraId="286F53E2" w14:textId="64F63B6D" w:rsidR="007F4943" w:rsidRDefault="00767E7C" w:rsidP="00BF1770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Note: </w:t>
      </w:r>
      <w:r w:rsidR="00BF1770" w:rsidRPr="00BF1770">
        <w:rPr>
          <w:rFonts w:ascii="Calibri" w:hAnsi="Calibri" w:cs="Calibri"/>
          <w:color w:val="000000"/>
        </w:rPr>
        <w:t xml:space="preserve">It is possible to have insignificant peptides (grey peptides) above the statistical threshold, this indicates that the magnitude of the change is enough to pass the global statistical threshold but is not </w:t>
      </w:r>
      <w:r w:rsidR="00BF1770">
        <w:rPr>
          <w:rFonts w:ascii="Calibri" w:hAnsi="Calibri" w:cs="Calibri"/>
          <w:color w:val="000000"/>
        </w:rPr>
        <w:t xml:space="preserve">considered </w:t>
      </w:r>
      <w:r w:rsidR="00BF1770" w:rsidRPr="00BF1770">
        <w:rPr>
          <w:rFonts w:ascii="Calibri" w:hAnsi="Calibri" w:cs="Calibri"/>
          <w:color w:val="000000"/>
        </w:rPr>
        <w:t>significant because it failed the Welch’s t-test in the hybrid significant test.</w:t>
      </w:r>
    </w:p>
    <w:p w14:paraId="561FDD2D" w14:textId="634A5F49" w:rsidR="001C5D76" w:rsidRDefault="00BF1770" w:rsidP="00EC2C15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a reminder, in this representation only one labeling point is considered</w:t>
      </w:r>
      <w:r w:rsidR="0010540D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(selected by the user) to identify the significant peptides. </w:t>
      </w:r>
      <w:r w:rsidR="0010540D">
        <w:rPr>
          <w:rFonts w:ascii="Calibri" w:hAnsi="Calibri" w:cs="Calibri"/>
          <w:color w:val="000000"/>
        </w:rPr>
        <w:t xml:space="preserve">By selecting a different labeling time for this </w:t>
      </w:r>
      <w:r w:rsidR="00767E7C">
        <w:rPr>
          <w:rFonts w:ascii="Calibri" w:hAnsi="Calibri" w:cs="Calibri"/>
          <w:color w:val="000000"/>
        </w:rPr>
        <w:t>representation,</w:t>
      </w:r>
      <w:r w:rsidR="0010540D">
        <w:rPr>
          <w:rFonts w:ascii="Calibri" w:hAnsi="Calibri" w:cs="Calibri"/>
          <w:color w:val="000000"/>
        </w:rPr>
        <w:t xml:space="preserve"> the user can visually identify how the statistically different peptides change and the magnitude of the change.</w:t>
      </w:r>
    </w:p>
    <w:p w14:paraId="14A28A48" w14:textId="77777777" w:rsidR="00BF1770" w:rsidRDefault="00BF1770" w:rsidP="00EC2C15">
      <w:pPr>
        <w:jc w:val="both"/>
        <w:rPr>
          <w:rFonts w:ascii="Calibri" w:hAnsi="Calibri" w:cs="Calibri"/>
          <w:color w:val="000000"/>
        </w:rPr>
      </w:pPr>
    </w:p>
    <w:p w14:paraId="1945D552" w14:textId="469168C0" w:rsidR="00BF1770" w:rsidRDefault="00BF1770" w:rsidP="00EC2C15">
      <w:pPr>
        <w:jc w:val="both"/>
        <w:rPr>
          <w:rFonts w:ascii="Calibri" w:hAnsi="Calibri" w:cs="Calibri"/>
          <w:color w:val="000000"/>
        </w:rPr>
      </w:pPr>
    </w:p>
    <w:p w14:paraId="48676FDC" w14:textId="48964885" w:rsidR="00BF1770" w:rsidRDefault="0010540D">
      <w:r>
        <w:rPr>
          <w:rFonts w:ascii="Calibri" w:hAnsi="Calibri" w:cs="Calibri"/>
          <w:noProof/>
          <w:color w:val="000000"/>
        </w:rPr>
        <w:lastRenderedPageBreak/>
        <w:drawing>
          <wp:anchor distT="0" distB="0" distL="114300" distR="114300" simplePos="0" relativeHeight="251661312" behindDoc="0" locked="0" layoutInCell="1" allowOverlap="1" wp14:anchorId="694831AA" wp14:editId="4CEC4F99">
            <wp:simplePos x="0" y="0"/>
            <wp:positionH relativeFrom="column">
              <wp:posOffset>-617074</wp:posOffset>
            </wp:positionH>
            <wp:positionV relativeFrom="paragraph">
              <wp:posOffset>-671390</wp:posOffset>
            </wp:positionV>
            <wp:extent cx="7096370" cy="3875710"/>
            <wp:effectExtent l="0" t="0" r="3175" b="0"/>
            <wp:wrapNone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370" cy="387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51313" w14:textId="478E822A" w:rsidR="00BF1770" w:rsidRDefault="00BF1770"/>
    <w:p w14:paraId="3F607B2B" w14:textId="7073250B" w:rsidR="00BF1770" w:rsidRDefault="00BF1770"/>
    <w:p w14:paraId="4DCFB4C6" w14:textId="24993B47" w:rsidR="0010540D" w:rsidRDefault="0010540D"/>
    <w:p w14:paraId="079D61DC" w14:textId="4CAB2857" w:rsidR="0010540D" w:rsidRDefault="0010540D"/>
    <w:p w14:paraId="4CB09DD0" w14:textId="4B142CCC" w:rsidR="0010540D" w:rsidRDefault="0010540D"/>
    <w:p w14:paraId="3FE25D4C" w14:textId="77777777" w:rsidR="0010540D" w:rsidRDefault="0010540D"/>
    <w:p w14:paraId="3732F1E1" w14:textId="77777777" w:rsidR="0010540D" w:rsidRDefault="0010540D"/>
    <w:p w14:paraId="26B962DA" w14:textId="77777777" w:rsidR="0010540D" w:rsidRDefault="0010540D"/>
    <w:p w14:paraId="1E51B88C" w14:textId="77777777" w:rsidR="0010540D" w:rsidRDefault="0010540D"/>
    <w:p w14:paraId="16068E2E" w14:textId="05EF4E2A" w:rsidR="00E10C6C" w:rsidRDefault="00E10C6C"/>
    <w:p w14:paraId="1250EFDF" w14:textId="77777777" w:rsidR="0010540D" w:rsidRDefault="0010540D"/>
    <w:p w14:paraId="4A9D3764" w14:textId="77777777" w:rsidR="0010540D" w:rsidRDefault="0010540D"/>
    <w:p w14:paraId="490D0D1E" w14:textId="77777777" w:rsidR="0010540D" w:rsidRDefault="0010540D"/>
    <w:p w14:paraId="330B2098" w14:textId="77777777" w:rsidR="0010540D" w:rsidRDefault="0010540D"/>
    <w:p w14:paraId="6954445D" w14:textId="77777777" w:rsidR="0010540D" w:rsidRDefault="0010540D"/>
    <w:p w14:paraId="15BF5605" w14:textId="77777777" w:rsidR="0010540D" w:rsidRDefault="0010540D"/>
    <w:p w14:paraId="70323FFB" w14:textId="77777777" w:rsidR="0010540D" w:rsidRDefault="0010540D"/>
    <w:p w14:paraId="2F86F5F0" w14:textId="7FB228B5" w:rsidR="0010540D" w:rsidRDefault="0010540D" w:rsidP="00767E7C">
      <w:pPr>
        <w:jc w:val="both"/>
      </w:pPr>
      <w:r>
        <w:t>As before, a drop down list and a download button is located below the plot to allow the user to download the plot in the selected format.</w:t>
      </w:r>
    </w:p>
    <w:sectPr w:rsidR="00105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10"/>
    <w:rsid w:val="000045E1"/>
    <w:rsid w:val="00086425"/>
    <w:rsid w:val="000A72BC"/>
    <w:rsid w:val="000B4D1D"/>
    <w:rsid w:val="000D799C"/>
    <w:rsid w:val="000F1E96"/>
    <w:rsid w:val="0010540D"/>
    <w:rsid w:val="00111DBB"/>
    <w:rsid w:val="001157FE"/>
    <w:rsid w:val="0012649B"/>
    <w:rsid w:val="00134EED"/>
    <w:rsid w:val="00147098"/>
    <w:rsid w:val="00170E41"/>
    <w:rsid w:val="001C5D76"/>
    <w:rsid w:val="002129ED"/>
    <w:rsid w:val="002A454D"/>
    <w:rsid w:val="002C335D"/>
    <w:rsid w:val="00335CEA"/>
    <w:rsid w:val="00350A7E"/>
    <w:rsid w:val="00366847"/>
    <w:rsid w:val="0037225D"/>
    <w:rsid w:val="00375B42"/>
    <w:rsid w:val="003B70EA"/>
    <w:rsid w:val="00423DE1"/>
    <w:rsid w:val="00424119"/>
    <w:rsid w:val="00481A1D"/>
    <w:rsid w:val="0049448C"/>
    <w:rsid w:val="004B5A03"/>
    <w:rsid w:val="0050191F"/>
    <w:rsid w:val="006034D9"/>
    <w:rsid w:val="00606F3F"/>
    <w:rsid w:val="00636148"/>
    <w:rsid w:val="00664DAA"/>
    <w:rsid w:val="0068427A"/>
    <w:rsid w:val="006A0DA9"/>
    <w:rsid w:val="006A1E50"/>
    <w:rsid w:val="006D7453"/>
    <w:rsid w:val="0070273B"/>
    <w:rsid w:val="00703BCB"/>
    <w:rsid w:val="00735D78"/>
    <w:rsid w:val="00736E95"/>
    <w:rsid w:val="00767E7C"/>
    <w:rsid w:val="00777C76"/>
    <w:rsid w:val="007A0E72"/>
    <w:rsid w:val="007F4943"/>
    <w:rsid w:val="007F6F5F"/>
    <w:rsid w:val="008003AD"/>
    <w:rsid w:val="00840C30"/>
    <w:rsid w:val="008A5273"/>
    <w:rsid w:val="008C3E3A"/>
    <w:rsid w:val="008E2003"/>
    <w:rsid w:val="008E3872"/>
    <w:rsid w:val="008E7704"/>
    <w:rsid w:val="009007F4"/>
    <w:rsid w:val="009D4E6C"/>
    <w:rsid w:val="00A03F6E"/>
    <w:rsid w:val="00A158C0"/>
    <w:rsid w:val="00A238EC"/>
    <w:rsid w:val="00A741F7"/>
    <w:rsid w:val="00B20072"/>
    <w:rsid w:val="00B6519E"/>
    <w:rsid w:val="00B90E39"/>
    <w:rsid w:val="00B97213"/>
    <w:rsid w:val="00BC2E7B"/>
    <w:rsid w:val="00BC4CB4"/>
    <w:rsid w:val="00BC6492"/>
    <w:rsid w:val="00BF1770"/>
    <w:rsid w:val="00CB2C14"/>
    <w:rsid w:val="00CB3D2A"/>
    <w:rsid w:val="00CF35ED"/>
    <w:rsid w:val="00D1117C"/>
    <w:rsid w:val="00D2086A"/>
    <w:rsid w:val="00D25515"/>
    <w:rsid w:val="00D330A1"/>
    <w:rsid w:val="00D86F67"/>
    <w:rsid w:val="00D90E6B"/>
    <w:rsid w:val="00DA09FB"/>
    <w:rsid w:val="00DA7120"/>
    <w:rsid w:val="00E10C6C"/>
    <w:rsid w:val="00E24AB9"/>
    <w:rsid w:val="00E43221"/>
    <w:rsid w:val="00E546B5"/>
    <w:rsid w:val="00E818FC"/>
    <w:rsid w:val="00E940DD"/>
    <w:rsid w:val="00EC2C15"/>
    <w:rsid w:val="00F12623"/>
    <w:rsid w:val="00F12C17"/>
    <w:rsid w:val="00F32A19"/>
    <w:rsid w:val="00F41610"/>
    <w:rsid w:val="00F7044D"/>
    <w:rsid w:val="00F807C7"/>
    <w:rsid w:val="00F823D8"/>
    <w:rsid w:val="00FD0BFA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5811"/>
  <w15:chartTrackingRefBased/>
  <w15:docId w15:val="{0EE91730-A6EF-634A-97C5-2FF9EE21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5A03"/>
  </w:style>
  <w:style w:type="character" w:customStyle="1" w:styleId="spelle">
    <w:name w:val="spelle"/>
    <w:basedOn w:val="DefaultParagraphFont"/>
    <w:rsid w:val="004B5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Rincon Pabon</dc:creator>
  <cp:keywords/>
  <dc:description/>
  <cp:lastModifiedBy>Juan Pablo Rincon Pabon</cp:lastModifiedBy>
  <cp:revision>6</cp:revision>
  <dcterms:created xsi:type="dcterms:W3CDTF">2023-04-18T16:49:00Z</dcterms:created>
  <dcterms:modified xsi:type="dcterms:W3CDTF">2023-04-29T11:34:00Z</dcterms:modified>
</cp:coreProperties>
</file>