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2"/>
        <w:gridCol w:w="7749"/>
        <w:tblGridChange w:id="0">
          <w:tblGrid>
            <w:gridCol w:w="2032"/>
            <w:gridCol w:w="77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semestre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6998"/>
        <w:tblGridChange w:id="0">
          <w:tblGrid>
            <w:gridCol w:w="2722"/>
            <w:gridCol w:w="69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2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3: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Semana 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7: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9: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10: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11: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12: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13: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17: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719.0" w:type="dxa"/>
      <w:jc w:val="left"/>
      <w:tblInd w:w="39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7"/>
      <w:gridCol w:w="5528"/>
      <w:gridCol w:w="2774"/>
      <w:tblGridChange w:id="0">
        <w:tblGrid>
          <w:gridCol w:w="1417"/>
          <w:gridCol w:w="5528"/>
          <w:gridCol w:w="2774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</w:rPr>
            <w:drawing>
              <wp:inline distB="0" distT="0" distL="0" distR="0">
                <wp:extent cx="571500" cy="590550"/>
                <wp:effectExtent b="0" l="0" r="0" t="0"/>
                <wp:docPr descr="BellartesOlogo K" id="4" name="image1.jpg"/>
                <a:graphic>
                  <a:graphicData uri="http://schemas.openxmlformats.org/drawingml/2006/picture">
                    <pic:pic>
                      <pic:nvPicPr>
                        <pic:cNvPr descr="BellartesOlogo K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A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PLANEACION TEMÁTICA SEMANAL</w:t>
          </w:r>
        </w:p>
        <w:p w:rsidR="00000000" w:rsidDel="00000000" w:rsidP="00000000" w:rsidRDefault="00000000" w:rsidRPr="00000000" w14:paraId="0000003B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Anexo  – Programa Analítico</w:t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ED.300.031.03.45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Fecha:01/2012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21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1D21D5"/>
    <w:pPr>
      <w:autoSpaceDE w:val="0"/>
      <w:autoSpaceDN w:val="0"/>
      <w:adjustRightInd w:val="0"/>
      <w:spacing w:after="0" w:line="240" w:lineRule="auto"/>
    </w:pPr>
    <w:rPr>
      <w:rFonts w:ascii="Symbol" w:cs="Symbol" w:eastAsia="Times New Roman" w:hAnsi="Symbol"/>
      <w:color w:val="000000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vNh48gkbm1QgWWaeOtK4SF9EDA==">AMUW2mW9bSgI5uanHfSDxg5L6c6hKf95zNR6ek5JtTM4wqL+KdBq4FnVrFjxXvEUM1G0YdcXJOOhxaEOdpZIjGBS4mx8FwmjZyJz+uhWlHzv6jQNnihRUqCnhzvFMVZBw6vUbi49v9dm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2022-03-02T04:04:00Z</dcterms:created>
  <dc:creator>Diego Mendoza  Imbachí</dc:creator>
</cp:coreProperties>
</file>