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b/>
          <w:bCs/>
          <w:color w:val="0F6B72"/>
          <w:sz w:val="32"/>
          <w:szCs w:val="32"/>
        </w:rPr>
        <w:t xml:space="preserve">RUTACONECTA S.A.S.</w:t>
      </w:r>
    </w:p>
    <w:p>
      <w:pPr>
        <w:spacing w:after="400" w:before="120"/>
        <w:jc w:val="center"/>
      </w:pPr>
      <w:r>
        <w:rPr>
          <w:i/>
          <w:iCs/>
          <w:color w:val="595959"/>
          <w:sz w:val="22"/>
          <w:szCs w:val="22"/>
        </w:rPr>
        <w:t xml:space="preserve">Consolidador B2B de Turismo Rural y Comunitario</w:t>
      </w:r>
    </w:p>
    <w:p>
      <w:pPr>
        <w:spacing w:after="200" w:before="800"/>
        <w:jc w:val="center"/>
      </w:pPr>
      <w:r>
        <w:rPr>
          <w:b/>
          <w:bCs/>
          <w:color w:val="1F3864"/>
          <w:sz w:val="40"/>
          <w:szCs w:val="40"/>
        </w:rPr>
        <w:t xml:space="preserve">FASE A — VISIÓN DE LA ARQUITECTURA</w:t>
      </w:r>
    </w:p>
    <w:p>
      <w:pPr>
        <w:spacing w:after="100" w:before="100"/>
        <w:jc w:val="center"/>
      </w:pPr>
      <w:r>
        <w:rPr>
          <w:color w:val="595959"/>
          <w:sz w:val="24"/>
          <w:szCs w:val="24"/>
        </w:rPr>
        <w:t xml:space="preserve">Documento Ejecutivo para Junta Directiva y Partes Interesadas</w:t>
      </w:r>
    </w:p>
    <w:p>
      <w:pPr>
        <w:spacing w:after="1200" w:before="100"/>
        <w:jc w:val="center"/>
      </w:pPr>
      <w:r>
        <w:rPr>
          <w:i/>
          <w:iCs/>
          <w:color w:val="595959"/>
          <w:sz w:val="20"/>
          <w:szCs w:val="20"/>
        </w:rPr>
        <w:t xml:space="preserve">Marco de referencia: TOGAF® 10 — Architecture Development Method (ADM)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300"/>
      </w:tblGrid>
      <w:tr>
        <w:trPr>
          <w:tblHeader/>
        </w:trPr>
        <w:tc>
          <w:tcPr>
            <w:tcW w:type="dxa" w:w="36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63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3600"/>
            <w:shd w:fill="EA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Código de documento</w:t>
            </w:r>
          </w:p>
        </w:tc>
        <w:tc>
          <w:tcPr>
            <w:tcW w:type="dxa" w:w="6300"/>
            <w:shd w:fill="EA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RAW-FA-2026-002 (versión ejecutiva)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Empresa (caso de estudio académico)</w:t>
            </w:r>
          </w:p>
        </w:tc>
        <w:tc>
          <w:tcPr>
            <w:tcW w:type="dxa" w:w="63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RutaConecta S.A.S.</w:t>
            </w:r>
          </w:p>
        </w:tc>
      </w:tr>
      <w:tr>
        <w:tc>
          <w:tcPr>
            <w:tcW w:type="dxa" w:w="3600"/>
            <w:shd w:fill="EA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Asignatura</w:t>
            </w:r>
          </w:p>
        </w:tc>
        <w:tc>
          <w:tcPr>
            <w:tcW w:type="dxa" w:w="6300"/>
            <w:shd w:fill="EA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Arquitectura de Sistemas II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Actividad</w:t>
            </w:r>
          </w:p>
        </w:tc>
        <w:tc>
          <w:tcPr>
            <w:tcW w:type="dxa" w:w="63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Trabajo asincrónico — sustitución de la clase del 27 de agosto de 2026</w:t>
            </w:r>
          </w:p>
        </w:tc>
      </w:tr>
      <w:tr>
        <w:tc>
          <w:tcPr>
            <w:tcW w:type="dxa" w:w="3600"/>
            <w:shd w:fill="EA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Elaborado por</w:t>
            </w:r>
          </w:p>
        </w:tc>
        <w:tc>
          <w:tcPr>
            <w:tcW w:type="dxa" w:w="6300"/>
            <w:shd w:fill="EA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Equipo de Arquitectura de Sistemas (estudiantes de Ingeniería de Sistemas)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Fecha de emisión</w:t>
            </w:r>
          </w:p>
        </w:tc>
        <w:tc>
          <w:tcPr>
            <w:tcW w:type="dxa" w:w="63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1 de septiembre de 2026</w:t>
            </w:r>
          </w:p>
        </w:tc>
      </w:tr>
      <w:tr>
        <w:tc>
          <w:tcPr>
            <w:tcW w:type="dxa" w:w="3600"/>
            <w:shd w:fill="EA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Estado</w:t>
            </w:r>
          </w:p>
        </w:tc>
        <w:tc>
          <w:tcPr>
            <w:tcW w:type="dxa" w:w="6300"/>
            <w:shd w:fill="EA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Para revisión y aprobación del Patrocinador Ejecutivo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000" w:right="1200" w:bottom="1000" w:left="120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0F6B72" w:sz="6" w:space="4"/>
        </w:pBdr>
        <w:spacing w:after="160" w:before="320"/>
      </w:pPr>
      <w:r>
        <w:rPr>
          <w:b/>
          <w:bCs/>
          <w:color w:val="1F3864"/>
          <w:sz w:val="30"/>
          <w:szCs w:val="30"/>
        </w:rPr>
        <w:t xml:space="preserve">Tabla de 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200"/>
      </w:pPr>
      <w:r>
        <w:rPr>
          <w:i/>
          <w:iCs/>
          <w:color w:val="595959"/>
          <w:sz w:val="18"/>
          <w:szCs w:val="18"/>
        </w:rPr>
        <w:t xml:space="preserve">Nota: al abrir el documento en Word, haga clic derecho sobre la tabla y seleccione "Actualizar campo" (o presione F9) para generar la numeración de páginas.</w:t>
      </w:r>
    </w:p>
    <w:p>
      <w:r>
        <w:br w:type="page"/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0F6B72" w:sz="6" w:space="4"/>
        </w:pBdr>
        <w:spacing w:after="160" w:before="320"/>
      </w:pPr>
      <w:r>
        <w:rPr>
          <w:b/>
          <w:bCs/>
          <w:color w:val="1F3864"/>
          <w:sz w:val="30"/>
          <w:szCs w:val="30"/>
        </w:rPr>
        <w:t xml:space="preserve">Resumen Ejecutivo</w:t>
      </w:r>
    </w:p>
    <w:p>
      <w:pPr>
        <w:spacing w:after="160" w:line="300"/>
      </w:pPr>
      <w:r>
        <w:rPr>
          <w:i w:val="false"/>
          <w:iCs w:val="false"/>
          <w:color w:val="202020"/>
          <w:sz w:val="21"/>
          <w:szCs w:val="21"/>
        </w:rPr>
        <w:t xml:space="preserve">RutaConecta es una Pyme que conecta agencias de viajes con posadas, transportistas y guías rurales, ganando un margen entre lo que le paga al proveedor local y lo que le cobra a la agencia. Hoy esa operación se sostiene con hojas de Excel en Google Drive, llamadas telefónicas y mensajes de WhatsApp, lo que genera tres problemas graves: cotizaciones que tardan hasta 48 horas, ventas dobles de la misma habitación o del mismo puesto de transporte (sobreventa), y pagos a proveedores calculados a mano, con errores y retrasos.</w:t>
      </w:r>
    </w:p>
    <w:p>
      <w:pPr>
        <w:spacing w:after="160" w:line="300"/>
      </w:pPr>
      <w:r>
        <w:rPr>
          <w:i w:val="false"/>
          <w:iCs w:val="false"/>
          <w:color w:val="202020"/>
          <w:sz w:val="21"/>
          <w:szCs w:val="21"/>
        </w:rPr>
        <w:t xml:space="preserve">Este documento presenta la Visión de la Arquitectura (Fase A del marco TOGAF) que la Dirección General ya autorizó: una plataforma digital centralizada que reduce el tiempo de cotización a minutos, elimina la sobreventa y automatiza los pagos a proveedores, sin perder la simplicidad que las posadas y guías necesitan para adoptarla.</w:t>
      </w:r>
    </w:p>
    <w:p>
      <w:pPr>
        <w:spacing w:after="160" w:line="300"/>
      </w:pPr>
      <w:r>
        <w:rPr>
          <w:i w:val="false"/>
          <w:iCs w:val="false"/>
          <w:color w:val="202020"/>
          <w:sz w:val="21"/>
          <w:szCs w:val="21"/>
        </w:rPr>
        <w:t xml:space="preserve">A continuación se explican, en lenguaje directo, los 11 pasos que exige la metodología para dejar esta visión lista y aprobada antes de pasar al diseño detallado.</w:t>
      </w:r>
    </w:p>
    <w:p>
      <w:pPr>
        <w:pStyle w:val="Heading1"/>
        <w:pBdr>
          <w:bottom w:val="single" w:color="0F6B72" w:sz="6" w:space="4"/>
        </w:pBdr>
        <w:spacing w:after="160" w:before="320"/>
      </w:pPr>
      <w:r>
        <w:rPr>
          <w:b/>
          <w:bCs/>
          <w:color w:val="1F3864"/>
          <w:sz w:val="30"/>
          <w:szCs w:val="30"/>
        </w:rPr>
        <w:t xml:space="preserve">1. El Proyecto de Arquitectura</w:t>
      </w:r>
    </w:p>
    <w:p>
      <w:pPr>
        <w:spacing w:after="160" w:line="300"/>
      </w:pPr>
      <w:r>
        <w:rPr>
          <w:i w:val="false"/>
          <w:iCs w:val="false"/>
          <w:color w:val="202020"/>
          <w:sz w:val="21"/>
          <w:szCs w:val="21"/>
        </w:rPr>
        <w:t xml:space="preserve">La Dirección General de RutaConecta ya autorizó formalmente este proyecto mediante el Documento Ejecutivo de Autorización (código RAW-FA-2026-001), firmado el 24 de agosto de 2026, con una vigencia de 6 meses.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700"/>
      </w:tblGrid>
      <w:tr>
        <w:trPr>
          <w:tblHeader/>
        </w:trPr>
        <w:tc>
          <w:tcPr>
            <w:tcW w:type="dxa" w:w="42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57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</w:tr>
      <w:tr>
        <w:tc>
          <w:tcPr>
            <w:tcW w:type="dxa" w:w="4200"/>
            <w:shd w:fill="EA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Patrocinador (Sponsor)</w:t>
            </w:r>
          </w:p>
        </w:tc>
        <w:tc>
          <w:tcPr>
            <w:tcW w:type="dxa" w:w="5700"/>
            <w:shd w:fill="EA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Director General / Fundador</w:t>
            </w:r>
          </w:p>
        </w:tc>
      </w:tr>
      <w:tr>
        <w:tc>
          <w:tcPr>
            <w:tcW w:type="dxa" w:w="4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Líder del proyecto de arquitectura</w:t>
            </w:r>
          </w:p>
        </w:tc>
        <w:tc>
          <w:tcPr>
            <w:tcW w:type="dxa" w:w="5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Arquitecto Principal (rol de CTO fraccional)</w:t>
            </w:r>
          </w:p>
        </w:tc>
      </w:tr>
      <w:tr>
        <w:tc>
          <w:tcPr>
            <w:tcW w:type="dxa" w:w="4200"/>
            <w:shd w:fill="EA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Dueño del proceso de negocio</w:t>
            </w:r>
          </w:p>
        </w:tc>
        <w:tc>
          <w:tcPr>
            <w:tcW w:type="dxa" w:w="5700"/>
            <w:shd w:fill="EA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Gerente de Operaciones</w:t>
            </w:r>
          </w:p>
        </w:tc>
      </w:tr>
      <w:tr>
        <w:tc>
          <w:tcPr>
            <w:tcW w:type="dxa" w:w="4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Dueño de las finanzas y liquidaciones</w:t>
            </w:r>
          </w:p>
        </w:tc>
        <w:tc>
          <w:tcPr>
            <w:tcW w:type="dxa" w:w="5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Coordinador Financiero / Contable</w:t>
            </w:r>
          </w:p>
        </w:tc>
      </w:tr>
    </w:tbl>
    <w:p>
      <w:pPr>
        <w:pStyle w:val="Heading1"/>
        <w:pBdr>
          <w:bottom w:val="single" w:color="0F6B72" w:sz="6" w:space="4"/>
        </w:pBdr>
        <w:spacing w:after="160" w:before="320"/>
      </w:pPr>
      <w:r>
        <w:rPr>
          <w:b/>
          <w:bCs/>
          <w:color w:val="1F3864"/>
          <w:sz w:val="30"/>
          <w:szCs w:val="30"/>
        </w:rPr>
        <w:t xml:space="preserve">2. Quiénes Participan y Qué les Preocupa</w:t>
      </w:r>
    </w:p>
    <w:p>
      <w:pPr>
        <w:spacing w:after="160" w:line="300"/>
      </w:pPr>
      <w:r>
        <w:rPr>
          <w:i w:val="false"/>
          <w:iCs w:val="false"/>
          <w:color w:val="202020"/>
          <w:sz w:val="21"/>
          <w:szCs w:val="21"/>
        </w:rPr>
        <w:t xml:space="preserve">Antes de diseñar la solución, se identificó a todos los grupos que se ven afectados por el cambio y qué necesita cada uno para sentir que el proyecto es un éxito.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40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Interesado</w:t>
            </w:r>
          </w:p>
        </w:tc>
        <w:tc>
          <w:tcPr>
            <w:tcW w:type="dxa" w:w="34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le preocupa</w:t>
            </w:r>
          </w:p>
        </w:tc>
        <w:tc>
          <w:tcPr>
            <w:tcW w:type="dxa" w:w="34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gana con la nueva plataforma</w:t>
            </w:r>
          </w:p>
        </w:tc>
      </w:tr>
      <w:tr>
        <w:tc>
          <w:tcPr>
            <w:tcW w:type="dxa" w:w="2600"/>
            <w:shd w:fill="EA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Dirección General</w:t>
            </w:r>
          </w:p>
        </w:tc>
        <w:tc>
          <w:tcPr>
            <w:tcW w:type="dxa" w:w="3400"/>
            <w:shd w:fill="EA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Crecer sin disparar los costos de personal</w:t>
            </w:r>
          </w:p>
        </w:tc>
        <w:tc>
          <w:tcPr>
            <w:tcW w:type="dxa" w:w="3400"/>
            <w:shd w:fill="EA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Vender hasta 3 veces más sin contratar más gente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Equipo de Operaciones</w:t>
            </w:r>
          </w:p>
        </w:tc>
        <w:tc>
          <w:tcPr>
            <w:tcW w:type="dxa" w:w="3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Perder tiempo en Excel y llamadas</w:t>
            </w:r>
          </w:p>
        </w:tc>
        <w:tc>
          <w:tcPr>
            <w:tcW w:type="dxa" w:w="3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Cotizaciones automáticas en minutos</w:t>
            </w:r>
          </w:p>
        </w:tc>
      </w:tr>
      <w:tr>
        <w:tc>
          <w:tcPr>
            <w:tcW w:type="dxa" w:w="2600"/>
            <w:shd w:fill="EA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Coordinador Financiero</w:t>
            </w:r>
          </w:p>
        </w:tc>
        <w:tc>
          <w:tcPr>
            <w:tcW w:type="dxa" w:w="3400"/>
            <w:shd w:fill="EA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Errores en pagos a proveedores</w:t>
            </w:r>
          </w:p>
        </w:tc>
        <w:tc>
          <w:tcPr>
            <w:tcW w:type="dxa" w:w="3400"/>
            <w:shd w:fill="EA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Liquidación automática y trazable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Agencias de Viaje (clientes)</w:t>
            </w:r>
          </w:p>
        </w:tc>
        <w:tc>
          <w:tcPr>
            <w:tcW w:type="dxa" w:w="3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Esperar demasiado por una cotización</w:t>
            </w:r>
          </w:p>
        </w:tc>
        <w:tc>
          <w:tcPr>
            <w:tcW w:type="dxa" w:w="3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Respuesta inmediata y sin sobreventas</w:t>
            </w:r>
          </w:p>
        </w:tc>
      </w:tr>
      <w:tr>
        <w:tc>
          <w:tcPr>
            <w:tcW w:type="dxa" w:w="2600"/>
            <w:shd w:fill="EA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Proveedores rurales (posadas, vans, guías)</w:t>
            </w:r>
          </w:p>
        </w:tc>
        <w:tc>
          <w:tcPr>
            <w:tcW w:type="dxa" w:w="3400"/>
            <w:shd w:fill="EA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Pagos tardíos y tecnología complicada</w:t>
            </w:r>
          </w:p>
        </w:tc>
        <w:tc>
          <w:tcPr>
            <w:tcW w:type="dxa" w:w="3400"/>
            <w:shd w:fill="EA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Confirmar por WhatsApp y cobrar a tiempo</w:t>
            </w:r>
          </w:p>
        </w:tc>
      </w:tr>
    </w:tbl>
    <w:p>
      <w:pPr>
        <w:pStyle w:val="Heading1"/>
        <w:pBdr>
          <w:bottom w:val="single" w:color="0F6B72" w:sz="6" w:space="4"/>
        </w:pBdr>
        <w:spacing w:after="160" w:before="320"/>
      </w:pPr>
      <w:r>
        <w:rPr>
          <w:b/>
          <w:bCs/>
          <w:color w:val="1F3864"/>
          <w:sz w:val="30"/>
          <w:szCs w:val="30"/>
        </w:rPr>
        <w:t xml:space="preserve">3. Objetivos del Negocio, Motivos del Cambio y Limitaciones</w:t>
      </w:r>
    </w:p>
    <w:p>
      <w:pPr>
        <w:pStyle w:val="Heading2"/>
        <w:spacing w:after="120" w:before="260"/>
      </w:pPr>
      <w:r>
        <w:rPr>
          <w:b/>
          <w:bCs/>
          <w:color w:val="0F6B72"/>
          <w:sz w:val="24"/>
          <w:szCs w:val="24"/>
        </w:rPr>
        <w:t xml:space="preserve">¿Por qué cambiar ahora? (Motivos del negocio)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Las agencias se cansan de esperar 24 a 48 horas por una cotización y compran a la competencia.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Las hojas de Excel desincronizadas generan sobreventa de habitaciones y vehículos.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Conciliar los pagos a proveedores a mano, a fin de mes, genera errores y desconfianza.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Duplicar las ventas hoy significaría duplicar el personal administrativo: el modelo actual no escala.</w:t>
      </w:r>
    </w:p>
    <w:p>
      <w:pPr>
        <w:pStyle w:val="Heading2"/>
        <w:spacing w:after="120" w:before="260"/>
      </w:pPr>
      <w:r>
        <w:rPr>
          <w:b/>
          <w:bCs/>
          <w:color w:val="0F6B72"/>
          <w:sz w:val="24"/>
          <w:szCs w:val="24"/>
        </w:rPr>
        <w:t xml:space="preserve">¿Qué se quiere lograr? (Metas medibles)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100"/>
        <w:gridCol w:w="3100"/>
      </w:tblGrid>
      <w:tr>
        <w:trPr>
          <w:tblHeader/>
        </w:trPr>
        <w:tc>
          <w:tcPr>
            <w:tcW w:type="dxa" w:w="32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Meta</w:t>
            </w:r>
          </w:p>
        </w:tc>
        <w:tc>
          <w:tcPr>
            <w:tcW w:type="dxa" w:w="31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Hoy</w:t>
            </w:r>
          </w:p>
        </w:tc>
        <w:tc>
          <w:tcPr>
            <w:tcW w:type="dxa" w:w="31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 6-12 meses</w:t>
            </w:r>
          </w:p>
        </w:tc>
      </w:tr>
      <w:tr>
        <w:tc>
          <w:tcPr>
            <w:tcW w:type="dxa" w:w="3200"/>
            <w:shd w:fill="EA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Tiempo de cotización</w:t>
            </w:r>
          </w:p>
        </w:tc>
        <w:tc>
          <w:tcPr>
            <w:tcW w:type="dxa" w:w="3100"/>
            <w:shd w:fill="EA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24 - 48 horas</w:t>
            </w:r>
          </w:p>
        </w:tc>
        <w:tc>
          <w:tcPr>
            <w:tcW w:type="dxa" w:w="3100"/>
            <w:shd w:fill="EA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Menos de 5 minutos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Sobreventa de cupos</w:t>
            </w:r>
          </w:p>
        </w:tc>
        <w:tc>
          <w:tcPr>
            <w:tcW w:type="dxa" w:w="31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5% - 8% de las reservas</w:t>
            </w:r>
          </w:p>
        </w:tc>
        <w:tc>
          <w:tcPr>
            <w:tcW w:type="dxa" w:w="31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0%</w:t>
            </w:r>
          </w:p>
        </w:tc>
      </w:tr>
      <w:tr>
        <w:tc>
          <w:tcPr>
            <w:tcW w:type="dxa" w:w="3200"/>
            <w:shd w:fill="EA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Tiempo de pago a proveedores</w:t>
            </w:r>
          </w:p>
        </w:tc>
        <w:tc>
          <w:tcPr>
            <w:tcW w:type="dxa" w:w="3100"/>
            <w:shd w:fill="EA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5 días hábiles</w:t>
            </w:r>
          </w:p>
        </w:tc>
        <w:tc>
          <w:tcPr>
            <w:tcW w:type="dxa" w:w="3100"/>
            <w:shd w:fill="EA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Menos de 2 horas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Capacidad de crecimiento</w:t>
            </w:r>
          </w:p>
        </w:tc>
        <w:tc>
          <w:tcPr>
            <w:tcW w:type="dxa" w:w="31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Requiere más personal por cada venta adicional</w:t>
            </w:r>
          </w:p>
        </w:tc>
        <w:tc>
          <w:tcPr>
            <w:tcW w:type="dxa" w:w="31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3 veces más ventas sin más personal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0F6B72"/>
          <w:sz w:val="24"/>
          <w:szCs w:val="24"/>
        </w:rPr>
        <w:t xml:space="preserve">¿Qué limita el proyecto?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Presupuesto de Pyme: se usarán servicios de nube de pago por uso, no infraestructura propia costosa.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Conectividad rural débil: la solución no puede depender de internet de alta velocidad en el campo.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Adopción tecnológica limitada de posadas y guías: se usarán canales que ya conocen, como WhatsApp.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Ventana de tiempo: el sistema debe estar listo antes de la próxima temporada alta (máximo 6 meses).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Cumplimiento legal de datos personales: los datos de viajeros y cuentas bancarias de proveedores deben protegerse conforme a la normativa de protección de datos vigente en Colombia (Congreso de Colombia, 2012).</w:t>
      </w:r>
    </w:p>
    <w:p>
      <w:pPr>
        <w:pStyle w:val="Heading1"/>
        <w:pBdr>
          <w:bottom w:val="single" w:color="0F6B72" w:sz="6" w:space="4"/>
        </w:pBdr>
        <w:spacing w:after="160" w:before="320"/>
      </w:pPr>
      <w:r>
        <w:rPr>
          <w:b/>
          <w:bCs/>
          <w:color w:val="1F3864"/>
          <w:sz w:val="30"/>
          <w:szCs w:val="30"/>
        </w:rPr>
        <w:t xml:space="preserve">4. ¿Qué tan preparada está la operación para este cambio?</w:t>
      </w:r>
    </w:p>
    <w:p>
      <w:pPr>
        <w:spacing w:after="160" w:line="300"/>
      </w:pPr>
      <w:r>
        <w:rPr>
          <w:i w:val="false"/>
          <w:iCs w:val="false"/>
          <w:color w:val="202020"/>
          <w:sz w:val="21"/>
          <w:szCs w:val="21"/>
        </w:rPr>
        <w:t xml:space="preserve">Se evaluó qué sabe hacer bien RutaConecta hoy y qué necesita aprender a hacer para operar la nueva plataforma sin sobresaltos.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100"/>
        <w:gridCol w:w="3000"/>
      </w:tblGrid>
      <w:tr>
        <w:trPr>
          <w:tblHeader/>
        </w:trPr>
        <w:tc>
          <w:tcPr>
            <w:tcW w:type="dxa" w:w="33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Área</w:t>
            </w:r>
          </w:p>
        </w:tc>
        <w:tc>
          <w:tcPr>
            <w:tcW w:type="dxa" w:w="31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Hoy</w:t>
            </w:r>
          </w:p>
        </w:tc>
        <w:tc>
          <w:tcPr>
            <w:tcW w:type="dxa" w:w="30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 la nueva plataforma</w:t>
            </w:r>
          </w:p>
        </w:tc>
      </w:tr>
      <w:tr>
        <w:tc>
          <w:tcPr>
            <w:tcW w:type="dxa" w:w="3300"/>
            <w:shd w:fill="EA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Inventario y cupos</w:t>
            </w:r>
          </w:p>
        </w:tc>
        <w:tc>
          <w:tcPr>
            <w:tcW w:type="dxa" w:w="3100"/>
            <w:shd w:fill="EA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Manual, por Excel y llamadas</w:t>
            </w:r>
          </w:p>
        </w:tc>
        <w:tc>
          <w:tcPr>
            <w:tcW w:type="dxa" w:w="3000"/>
            <w:shd w:fill="EA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Control centralizado en tiempo real</w:t>
            </w:r>
          </w:p>
        </w:tc>
      </w:tr>
      <w:tr>
        <w:tc>
          <w:tcPr>
            <w:tcW w:type="dxa" w:w="33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Cotización y venta</w:t>
            </w:r>
          </w:p>
        </w:tc>
        <w:tc>
          <w:tcPr>
            <w:tcW w:type="dxa" w:w="31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24-48 horas, cálculo manual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Automática, menos de 5 minutos</w:t>
            </w:r>
          </w:p>
        </w:tc>
      </w:tr>
      <w:tr>
        <w:tc>
          <w:tcPr>
            <w:tcW w:type="dxa" w:w="3300"/>
            <w:shd w:fill="EA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Pago a proveedores</w:t>
            </w:r>
          </w:p>
        </w:tc>
        <w:tc>
          <w:tcPr>
            <w:tcW w:type="dxa" w:w="3100"/>
            <w:shd w:fill="EA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Conciliación manual mensual</w:t>
            </w:r>
          </w:p>
        </w:tc>
        <w:tc>
          <w:tcPr>
            <w:tcW w:type="dxa" w:w="3000"/>
            <w:shd w:fill="EA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Cálculo y pago automatizados</w:t>
            </w:r>
          </w:p>
        </w:tc>
      </w:tr>
      <w:tr>
        <w:tc>
          <w:tcPr>
            <w:tcW w:type="dxa" w:w="33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Atención a proveedores rurales</w:t>
            </w:r>
          </w:p>
        </w:tc>
        <w:tc>
          <w:tcPr>
            <w:tcW w:type="dxa" w:w="31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Llamadas uno a uno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Confirmación por WhatsApp/SMS</w:t>
            </w:r>
          </w:p>
        </w:tc>
      </w:tr>
      <w:tr>
        <w:tc>
          <w:tcPr>
            <w:tcW w:type="dxa" w:w="3300"/>
            <w:shd w:fill="EA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Cancelaciones y reembolsos</w:t>
            </w:r>
          </w:p>
        </w:tc>
        <w:tc>
          <w:tcPr>
            <w:tcW w:type="dxa" w:w="3100"/>
            <w:shd w:fill="EA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Se resuelve caso por caso, sin reglas escritas</w:t>
            </w:r>
          </w:p>
        </w:tc>
        <w:tc>
          <w:tcPr>
            <w:tcW w:type="dxa" w:w="3000"/>
            <w:shd w:fill="EA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Reglas claras integradas al sistema</w:t>
            </w:r>
          </w:p>
        </w:tc>
      </w:tr>
    </w:tbl>
    <w:p>
      <w:pPr>
        <w:pStyle w:val="Heading1"/>
        <w:pBdr>
          <w:bottom w:val="single" w:color="0F6B72" w:sz="6" w:space="4"/>
        </w:pBdr>
        <w:spacing w:after="160" w:before="320"/>
      </w:pPr>
      <w:r>
        <w:rPr>
          <w:b/>
          <w:bCs/>
          <w:color w:val="1F3864"/>
          <w:sz w:val="30"/>
          <w:szCs w:val="30"/>
        </w:rPr>
        <w:t xml:space="preserve">5. Preparación para el Cambio Organizacional</w:t>
      </w:r>
    </w:p>
    <w:p>
      <w:pPr>
        <w:spacing w:after="160" w:line="300"/>
      </w:pPr>
      <w:r>
        <w:rPr>
          <w:i w:val="false"/>
          <w:iCs w:val="false"/>
          <w:color w:val="202020"/>
          <w:sz w:val="21"/>
          <w:szCs w:val="21"/>
        </w:rPr>
        <w:t xml:space="preserve">Un cambio de esta magnitud no es solo tecnológico: también implica que las personas confíen y adopten la nueva forma de trabajar.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200"/>
      </w:tblGrid>
      <w:tr>
        <w:trPr>
          <w:tblHeader/>
        </w:trPr>
        <w:tc>
          <w:tcPr>
            <w:tcW w:type="dxa" w:w="30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Aspecto</w:t>
            </w:r>
          </w:p>
        </w:tc>
        <w:tc>
          <w:tcPr>
            <w:tcW w:type="dxa" w:w="32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Riesgo</w:t>
            </w:r>
          </w:p>
        </w:tc>
        <w:tc>
          <w:tcPr>
            <w:tcW w:type="dxa" w:w="32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Cómo se maneja</w:t>
            </w:r>
          </w:p>
        </w:tc>
      </w:tr>
      <w:tr>
        <w:tc>
          <w:tcPr>
            <w:tcW w:type="dxa" w:w="3000"/>
            <w:shd w:fill="EA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Patrocinio de la Dirección</w:t>
            </w:r>
          </w:p>
        </w:tc>
        <w:tc>
          <w:tcPr>
            <w:tcW w:type="dxa" w:w="3200"/>
            <w:shd w:fill="EA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Querer resultados demasiado rápido</w:t>
            </w:r>
          </w:p>
        </w:tc>
        <w:tc>
          <w:tcPr>
            <w:tcW w:type="dxa" w:w="3200"/>
            <w:shd w:fill="EA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Entregas funcionales cada 4 semanas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Cultura del equipo interno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Apego a las hojas de Excel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El equipo participa en el diseño de las pantallas</w:t>
            </w:r>
          </w:p>
        </w:tc>
      </w:tr>
      <w:tr>
        <w:tc>
          <w:tcPr>
            <w:tcW w:type="dxa" w:w="3000"/>
            <w:shd w:fill="EA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Adopción rural</w:t>
            </w:r>
          </w:p>
        </w:tc>
        <w:tc>
          <w:tcPr>
            <w:tcW w:type="dxa" w:w="3200"/>
            <w:shd w:fill="EA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Rechazo a herramientas complejas</w:t>
            </w:r>
          </w:p>
        </w:tc>
        <w:tc>
          <w:tcPr>
            <w:tcW w:type="dxa" w:w="3200"/>
            <w:shd w:fill="EA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Uso de WhatsApp/SMS, sin apps pesadas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Soporte técnico interno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No hay equipo de TI propio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Servicios en la nube con bajo mantenimiento</w:t>
            </w:r>
          </w:p>
        </w:tc>
      </w:tr>
      <w:tr>
        <w:tc>
          <w:tcPr>
            <w:tcW w:type="dxa" w:w="3000"/>
            <w:shd w:fill="EA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Reglas de negocio</w:t>
            </w:r>
          </w:p>
        </w:tc>
        <w:tc>
          <w:tcPr>
            <w:tcW w:type="dxa" w:w="3200"/>
            <w:shd w:fill="EA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Ambigüedad en cancelaciones y comisiones</w:t>
            </w:r>
          </w:p>
        </w:tc>
        <w:tc>
          <w:tcPr>
            <w:tcW w:type="dxa" w:w="3200"/>
            <w:shd w:fill="EA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Se aprueban formalmente antes de programar</w:t>
            </w:r>
          </w:p>
        </w:tc>
      </w:tr>
    </w:tbl>
    <w:p>
      <w:pPr>
        <w:pStyle w:val="Heading1"/>
        <w:pBdr>
          <w:bottom w:val="single" w:color="0F6B72" w:sz="6" w:space="4"/>
        </w:pBdr>
        <w:spacing w:after="160" w:before="320"/>
      </w:pPr>
      <w:r>
        <w:rPr>
          <w:b/>
          <w:bCs/>
          <w:color w:val="1F3864"/>
          <w:sz w:val="30"/>
          <w:szCs w:val="30"/>
        </w:rPr>
        <w:t xml:space="preserve">6. Qué Incluye y Qué No Incluye este Proyecto</w:t>
      </w:r>
    </w:p>
    <w:p>
      <w:pPr>
        <w:pStyle w:val="Heading2"/>
        <w:spacing w:after="120" w:before="260"/>
      </w:pPr>
      <w:r>
        <w:rPr>
          <w:b/>
          <w:bCs/>
          <w:color w:val="0F6B72"/>
          <w:sz w:val="24"/>
          <w:szCs w:val="24"/>
        </w:rPr>
        <w:t xml:space="preserve">Sí incluye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Automatizar la gestión de inventario, reservas y cotizaciones.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Crear el módulo de liquidación y pago a proveedores.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Migrar la información desde Google Drive a una base de datos central y segura.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Crear un portal web para las agencias B2B y un canal por WhatsApp/PWA para proveedores rurales.</w:t>
      </w:r>
    </w:p>
    <w:p>
      <w:pPr>
        <w:pStyle w:val="Heading2"/>
        <w:spacing w:after="120" w:before="260"/>
      </w:pPr>
      <w:r>
        <w:rPr>
          <w:b/>
          <w:bCs/>
          <w:color w:val="0F6B72"/>
          <w:sz w:val="24"/>
          <w:szCs w:val="24"/>
        </w:rPr>
        <w:t xml:space="preserve">No incluye (por ahora)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Aplicación móvil para el turista final (consumidor B2C).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Pasarelas de pago internacionales en múltiples monedas.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Reemplazo del sistema contable externo de la empresa.</w:t>
      </w:r>
    </w:p>
    <w:p>
      <w:pPr>
        <w:pStyle w:val="Heading1"/>
        <w:pBdr>
          <w:bottom w:val="single" w:color="0F6B72" w:sz="6" w:space="4"/>
        </w:pBdr>
        <w:spacing w:after="160" w:before="320"/>
      </w:pPr>
      <w:r>
        <w:rPr>
          <w:b/>
          <w:bCs/>
          <w:color w:val="1F3864"/>
          <w:sz w:val="30"/>
          <w:szCs w:val="30"/>
        </w:rPr>
        <w:t xml:space="preserve">7. Principios que Guiarán Todas las Decisiones</w:t>
      </w:r>
    </w:p>
    <w:p>
      <w:pPr>
        <w:spacing w:after="160" w:line="300"/>
      </w:pPr>
      <w:r>
        <w:rPr>
          <w:i w:val="false"/>
          <w:iCs w:val="false"/>
          <w:color w:val="202020"/>
          <w:sz w:val="21"/>
          <w:szCs w:val="21"/>
        </w:rPr>
        <w:t xml:space="preserve">Estas son las "reglas de oro" que ningún diseño técnico futuro podrá violar: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Comercio justo: los pagos a proveedores rurales deben ser transparentes y puntuales.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Privacidad por diseño: los datos personales y bancarios se protegen conforme a la ley.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Confidencialidad comercial: ninguna agencia ve los costos o datos de otra.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Simplicidad ante todo: se prefiere una solución sencilla y mantenible sobre una sofisticada pero costosa.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Una sola fuente de verdad: se elimina el uso de hojas de cálculo como base de datos.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Inclusión rural: los proveedores en zonas sin buena señal deben poder usar el sistema igual.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Apertura tecnológica: el sistema se conecta con pasarelas de pago y otros servicios sin rehacer el código.</w:t>
      </w:r>
    </w:p>
    <w:p>
      <w:pPr>
        <w:pStyle w:val="Heading1"/>
        <w:pBdr>
          <w:bottom w:val="single" w:color="0F6B72" w:sz="6" w:space="4"/>
        </w:pBdr>
        <w:spacing w:after="160" w:before="320"/>
      </w:pPr>
      <w:r>
        <w:rPr>
          <w:b/>
          <w:bCs/>
          <w:color w:val="1F3864"/>
          <w:sz w:val="30"/>
          <w:szCs w:val="30"/>
        </w:rPr>
        <w:t xml:space="preserve">8. La Visión de la Arquitectura</w:t>
      </w:r>
    </w:p>
    <w:p>
      <w:pPr>
        <w:spacing w:after="160" w:line="300"/>
      </w:pPr>
      <w:r>
        <w:rPr>
          <w:i/>
          <w:iCs/>
          <w:color w:val="202020"/>
          <w:sz w:val="21"/>
          <w:szCs w:val="21"/>
        </w:rPr>
        <w:t xml:space="preserve">"Convertir la operación manual y fragmentada de RutaConecta en una plataforma digital integrada, elástica y de bajo costo en la nube, que automatice la gestión de inventario rural en tiempo real, habilite la cotización B2B instantánea (menos de 5 minutos) y garantice la liquidación transparente a los proveedores locales, utilizando canales accesibles e inmunes a los problemas de conectividad rural."</w:t>
      </w:r>
    </w:p>
    <w:p>
      <w:pPr>
        <w:spacing w:after="160" w:line="300"/>
      </w:pPr>
      <w:r>
        <w:rPr>
          <w:i w:val="false"/>
          <w:iCs w:val="false"/>
          <w:color w:val="202020"/>
          <w:sz w:val="21"/>
          <w:szCs w:val="21"/>
        </w:rPr>
        <w:t xml:space="preserve">En términos simples, la plataforma tendrá cuatro piezas: (1) los canales por donde entran las solicitudes —el portal web de las agencias, el WhatsApp de los proveedores y el panel del equipo de operaciones—; (2) la puerta de entrada segura que valida quién puede ver qué; (3) los tres "motores" de negocio (inventario, cotización y liquidación); y (4) la base de datos central que guarda toda la información de forma consistente.</w:t>
      </w:r>
    </w:p>
    <w:p>
      <w:pPr>
        <w:spacing w:after="160" w:line="300"/>
      </w:pPr>
      <w:r>
        <w:rPr>
          <w:i w:val="false"/>
          <w:iCs w:val="false"/>
          <w:color w:val="202020"/>
          <w:sz w:val="21"/>
          <w:szCs w:val="21"/>
        </w:rPr>
        <w:t xml:space="preserve">Una decisión importante: cuando dos agencias piden el último cupo disponible al mismo tiempo, el sistema preferirá tardar unos segundos más en confirmar antes que arriesgarse a vender el mismo cupo dos veces. Es más valioso para la reputación de RutaConecta una espera breve que dejar a un grupo de turistas sin hospedaje.</w:t>
      </w:r>
    </w:p>
    <w:p>
      <w:pPr>
        <w:pStyle w:val="Heading1"/>
        <w:pBdr>
          <w:bottom w:val="single" w:color="0F6B72" w:sz="6" w:space="4"/>
        </w:pBdr>
        <w:spacing w:after="160" w:before="320"/>
      </w:pPr>
      <w:r>
        <w:rPr>
          <w:b/>
          <w:bCs/>
          <w:color w:val="1F3864"/>
          <w:sz w:val="30"/>
          <w:szCs w:val="30"/>
        </w:rPr>
        <w:t xml:space="preserve">9. Beneficios Esperados y Cómo se Medirán (KPI)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1700"/>
        <w:gridCol w:w="330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Indicador</w:t>
            </w:r>
          </w:p>
        </w:tc>
        <w:tc>
          <w:tcPr>
            <w:tcW w:type="dxa" w:w="17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Hoy</w:t>
            </w:r>
          </w:p>
        </w:tc>
        <w:tc>
          <w:tcPr>
            <w:tcW w:type="dxa" w:w="17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Meta</w:t>
            </w:r>
          </w:p>
        </w:tc>
        <w:tc>
          <w:tcPr>
            <w:tcW w:type="dxa" w:w="33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Por qué importa</w:t>
            </w:r>
          </w:p>
        </w:tc>
      </w:tr>
      <w:tr>
        <w:tc>
          <w:tcPr>
            <w:tcW w:type="dxa" w:w="2600"/>
            <w:shd w:fill="EA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Tiempo de cotización</w:t>
            </w:r>
          </w:p>
        </w:tc>
        <w:tc>
          <w:tcPr>
            <w:tcW w:type="dxa" w:w="1700"/>
            <w:shd w:fill="EA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24-48 h</w:t>
            </w:r>
          </w:p>
        </w:tc>
        <w:tc>
          <w:tcPr>
            <w:tcW w:type="dxa" w:w="1700"/>
            <w:shd w:fill="EA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&lt; 5 min</w:t>
            </w:r>
          </w:p>
        </w:tc>
        <w:tc>
          <w:tcPr>
            <w:tcW w:type="dxa" w:w="3300"/>
            <w:shd w:fill="EA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Más ventas cerradas, menos clientes perdidos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Sobreventa</w:t>
            </w:r>
          </w:p>
        </w:tc>
        <w:tc>
          <w:tcPr>
            <w:tcW w:type="dxa" w:w="1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5%-8%</w:t>
            </w:r>
          </w:p>
        </w:tc>
        <w:tc>
          <w:tcPr>
            <w:tcW w:type="dxa" w:w="1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0%</w:t>
            </w:r>
          </w:p>
        </w:tc>
        <w:tc>
          <w:tcPr>
            <w:tcW w:type="dxa" w:w="33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Cuida la reputación y la confianza de las agencias</w:t>
            </w:r>
          </w:p>
        </w:tc>
      </w:tr>
      <w:tr>
        <w:tc>
          <w:tcPr>
            <w:tcW w:type="dxa" w:w="2600"/>
            <w:shd w:fill="EA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Tiempo de pago a proveedores</w:t>
            </w:r>
          </w:p>
        </w:tc>
        <w:tc>
          <w:tcPr>
            <w:tcW w:type="dxa" w:w="1700"/>
            <w:shd w:fill="EA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5 días</w:t>
            </w:r>
          </w:p>
        </w:tc>
        <w:tc>
          <w:tcPr>
            <w:tcW w:type="dxa" w:w="1700"/>
            <w:shd w:fill="EA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&lt; 2 horas</w:t>
            </w:r>
          </w:p>
        </w:tc>
        <w:tc>
          <w:tcPr>
            <w:tcW w:type="dxa" w:w="3300"/>
            <w:shd w:fill="EA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Fideliza a la red de proveedores rurales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Proveedores activos en la plataforma</w:t>
            </w:r>
          </w:p>
        </w:tc>
        <w:tc>
          <w:tcPr>
            <w:tcW w:type="dxa" w:w="1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0%</w:t>
            </w:r>
          </w:p>
        </w:tc>
        <w:tc>
          <w:tcPr>
            <w:tcW w:type="dxa" w:w="1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&gt; 85%</w:t>
            </w:r>
          </w:p>
        </w:tc>
        <w:tc>
          <w:tcPr>
            <w:tcW w:type="dxa" w:w="33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El inventario se actualiza solo, sin llamadas</w:t>
            </w:r>
          </w:p>
        </w:tc>
      </w:tr>
      <w:tr>
        <w:tc>
          <w:tcPr>
            <w:tcW w:type="dxa" w:w="2600"/>
            <w:shd w:fill="EA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Costo por reserva gestionada</w:t>
            </w:r>
          </w:p>
        </w:tc>
        <w:tc>
          <w:tcPr>
            <w:tcW w:type="dxa" w:w="1700"/>
            <w:shd w:fill="EA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Alto y creciente</w:t>
            </w:r>
          </w:p>
        </w:tc>
        <w:tc>
          <w:tcPr>
            <w:tcW w:type="dxa" w:w="1700"/>
            <w:shd w:fill="EA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-60%</w:t>
            </w:r>
          </w:p>
        </w:tc>
        <w:tc>
          <w:tcPr>
            <w:tcW w:type="dxa" w:w="3300"/>
            <w:shd w:fill="EA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El negocio puede crecer sin disparar gastos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Conversión de solicitudes B2B</w:t>
            </w:r>
          </w:p>
        </w:tc>
        <w:tc>
          <w:tcPr>
            <w:tcW w:type="dxa" w:w="1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~15%</w:t>
            </w:r>
          </w:p>
        </w:tc>
        <w:tc>
          <w:tcPr>
            <w:tcW w:type="dxa" w:w="1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&gt; 35%</w:t>
            </w:r>
          </w:p>
        </w:tc>
        <w:tc>
          <w:tcPr>
            <w:tcW w:type="dxa" w:w="33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Se capturan ventas que hoy se pierden por lentitud</w:t>
            </w:r>
          </w:p>
        </w:tc>
      </w:tr>
    </w:tbl>
    <w:p>
      <w:pPr>
        <w:pStyle w:val="Heading1"/>
        <w:pBdr>
          <w:bottom w:val="single" w:color="0F6B72" w:sz="6" w:space="4"/>
        </w:pBdr>
        <w:spacing w:after="160" w:before="320"/>
      </w:pPr>
      <w:r>
        <w:rPr>
          <w:b/>
          <w:bCs/>
          <w:color w:val="1F3864"/>
          <w:sz w:val="30"/>
          <w:szCs w:val="30"/>
        </w:rPr>
        <w:t xml:space="preserve">10. Riesgos y Cómo se Van a Controlar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00"/>
      </w:tblGrid>
      <w:tr>
        <w:trPr>
          <w:tblHeader/>
        </w:trPr>
        <w:tc>
          <w:tcPr>
            <w:tcW w:type="dxa" w:w="43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Riesgo</w:t>
            </w:r>
          </w:p>
        </w:tc>
        <w:tc>
          <w:tcPr>
            <w:tcW w:type="dxa" w:w="53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Cómo se mitiga</w:t>
            </w:r>
          </w:p>
        </w:tc>
      </w:tr>
      <w:tr>
        <w:tc>
          <w:tcPr>
            <w:tcW w:type="dxa" w:w="4300"/>
            <w:shd w:fill="EA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El equipo interno se resiste a dejar el Excel</w:t>
            </w:r>
          </w:p>
        </w:tc>
        <w:tc>
          <w:tcPr>
            <w:tcW w:type="dxa" w:w="5300"/>
            <w:shd w:fill="EA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Se les involucra en el diseño de las pantallas desde el inicio</w:t>
            </w:r>
          </w:p>
        </w:tc>
      </w:tr>
      <w:tr>
        <w:tc>
          <w:tcPr>
            <w:tcW w:type="dxa" w:w="43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Los proveedores rurales no adoptan la herramienta</w:t>
            </w:r>
          </w:p>
        </w:tc>
        <w:tc>
          <w:tcPr>
            <w:tcW w:type="dxa" w:w="53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Se usa WhatsApp/SMS, sin apps complicadas</w:t>
            </w:r>
          </w:p>
        </w:tc>
      </w:tr>
      <w:tr>
        <w:tc>
          <w:tcPr>
            <w:tcW w:type="dxa" w:w="4300"/>
            <w:shd w:fill="EA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Errores al migrar los cálculos de tarifas desde Excel</w:t>
            </w:r>
          </w:p>
        </w:tc>
        <w:tc>
          <w:tcPr>
            <w:tcW w:type="dxa" w:w="5300"/>
            <w:shd w:fill="EA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Se auditan las reglas con gerencia antes de programar</w:t>
            </w:r>
          </w:p>
        </w:tc>
      </w:tr>
      <w:tr>
        <w:tc>
          <w:tcPr>
            <w:tcW w:type="dxa" w:w="43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El proyecto se desvía intentando cubrir demasiado</w:t>
            </w:r>
          </w:p>
        </w:tc>
        <w:tc>
          <w:tcPr>
            <w:tcW w:type="dxa" w:w="53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Se congela el alcance del MVP y el resto va a una lista futura</w:t>
            </w:r>
          </w:p>
        </w:tc>
      </w:tr>
      <w:tr>
        <w:tc>
          <w:tcPr>
            <w:tcW w:type="dxa" w:w="4300"/>
            <w:shd w:fill="EA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Fallas durante el cambio al nuevo sistema</w:t>
            </w:r>
          </w:p>
        </w:tc>
        <w:tc>
          <w:tcPr>
            <w:tcW w:type="dxa" w:w="5300"/>
            <w:shd w:fill="EA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Migración en temporada baja y plan de reversión probado</w:t>
            </w:r>
          </w:p>
        </w:tc>
      </w:tr>
      <w:tr>
        <w:tc>
          <w:tcPr>
            <w:tcW w:type="dxa" w:w="43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Incumplimiento en el manejo de datos personales</w:t>
            </w:r>
          </w:p>
        </w:tc>
        <w:tc>
          <w:tcPr>
            <w:tcW w:type="dxa" w:w="53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Principios de privacidad desde el diseño y responsable de datos designado</w:t>
            </w:r>
          </w:p>
        </w:tc>
      </w:tr>
    </w:tbl>
    <w:p>
      <w:pPr>
        <w:spacing w:after="160" w:line="300"/>
      </w:pPr>
      <w:r>
        <w:rPr>
          <w:i w:val="false"/>
          <w:iCs w:val="false"/>
          <w:color w:val="202020"/>
          <w:sz w:val="21"/>
          <w:szCs w:val="21"/>
        </w:rPr>
        <w:t xml:space="preserve">Plan adicional de control: la plataforma se probará primero con un grupo piloto de 5 posadas y 2 agencias aliadas, con soporte prioritario durante el primer mes.</w:t>
      </w:r>
    </w:p>
    <w:p>
      <w:pPr>
        <w:pStyle w:val="Heading1"/>
        <w:pBdr>
          <w:bottom w:val="single" w:color="0F6B72" w:sz="6" w:space="4"/>
        </w:pBdr>
        <w:spacing w:after="160" w:before="320"/>
      </w:pPr>
      <w:r>
        <w:rPr>
          <w:b/>
          <w:bCs/>
          <w:color w:val="1F3864"/>
          <w:sz w:val="30"/>
          <w:szCs w:val="30"/>
        </w:rPr>
        <w:t xml:space="preserve">11. Declaración de Trabajo de Arquitectura y Aprobación</w:t>
      </w:r>
    </w:p>
    <w:p>
      <w:pPr>
        <w:spacing w:after="160" w:line="300"/>
      </w:pPr>
      <w:r>
        <w:rPr>
          <w:i w:val="false"/>
          <w:iCs w:val="false"/>
          <w:color w:val="202020"/>
          <w:sz w:val="21"/>
          <w:szCs w:val="21"/>
        </w:rPr>
        <w:t xml:space="preserve">Con este documento se solicita a la Junta Directiva cerrar formalmente la Fase A y autorizar el inicio de la Fase B (Arquitectura de Negocio), donde se diseñarán en detalle los procesos de reservas, cotización y liquidación.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3200"/>
        <w:gridCol w:w="1400"/>
      </w:tblGrid>
      <w:tr>
        <w:trPr>
          <w:tblHeader/>
        </w:trPr>
        <w:tc>
          <w:tcPr>
            <w:tcW w:type="dxa" w:w="28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22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32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Entregable principal</w:t>
            </w:r>
          </w:p>
        </w:tc>
        <w:tc>
          <w:tcPr>
            <w:tcW w:type="dxa" w:w="14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Cuándo</w:t>
            </w:r>
          </w:p>
        </w:tc>
      </w:tr>
      <w:tr>
        <w:tc>
          <w:tcPr>
            <w:tcW w:type="dxa" w:w="2800"/>
            <w:shd w:fill="EA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Fase Preliminar</w:t>
            </w:r>
          </w:p>
        </w:tc>
        <w:tc>
          <w:tcPr>
            <w:tcW w:type="dxa" w:w="2200"/>
            <w:shd w:fill="EA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Cerrada</w:t>
            </w:r>
          </w:p>
        </w:tc>
        <w:tc>
          <w:tcPr>
            <w:tcW w:type="dxa" w:w="3200"/>
            <w:shd w:fill="EA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Gobernanza, principios y diagnóstico inicial</w:t>
            </w:r>
          </w:p>
        </w:tc>
        <w:tc>
          <w:tcPr>
            <w:tcW w:type="dxa" w:w="1400"/>
            <w:shd w:fill="EA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Completada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Fase A - Visión de la Arquitectura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En revisión (este documento)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Visión, metas, riesgos, KPI</w:t>
            </w:r>
          </w:p>
        </w:tc>
        <w:tc>
          <w:tcPr>
            <w:tcW w:type="dxa" w:w="1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Mes 1</w:t>
            </w:r>
          </w:p>
        </w:tc>
      </w:tr>
      <w:tr>
        <w:tc>
          <w:tcPr>
            <w:tcW w:type="dxa" w:w="2800"/>
            <w:shd w:fill="EA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Fase B - Arquitectura de Negocio</w:t>
            </w:r>
          </w:p>
        </w:tc>
        <w:tc>
          <w:tcPr>
            <w:tcW w:type="dxa" w:w="2200"/>
            <w:shd w:fill="EA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Próxima</w:t>
            </w:r>
          </w:p>
        </w:tc>
        <w:tc>
          <w:tcPr>
            <w:tcW w:type="dxa" w:w="3200"/>
            <w:shd w:fill="EA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Procesos de reservas, cotización y liquidación</w:t>
            </w:r>
          </w:p>
        </w:tc>
        <w:tc>
          <w:tcPr>
            <w:tcW w:type="dxa" w:w="1400"/>
            <w:shd w:fill="EA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Mes 2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Fase C - Datos y Aplicaciones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Planificada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Base de datos central y APIs</w:t>
            </w:r>
          </w:p>
        </w:tc>
        <w:tc>
          <w:tcPr>
            <w:tcW w:type="dxa" w:w="1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Meses 3-4</w:t>
            </w:r>
          </w:p>
        </w:tc>
      </w:tr>
      <w:tr>
        <w:tc>
          <w:tcPr>
            <w:tcW w:type="dxa" w:w="2800"/>
            <w:shd w:fill="EA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Fase D - Infraestructura</w:t>
            </w:r>
          </w:p>
        </w:tc>
        <w:tc>
          <w:tcPr>
            <w:tcW w:type="dxa" w:w="2200"/>
            <w:shd w:fill="EA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Planificada</w:t>
            </w:r>
          </w:p>
        </w:tc>
        <w:tc>
          <w:tcPr>
            <w:tcW w:type="dxa" w:w="3200"/>
            <w:shd w:fill="EA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Nube, seguridad y respaldo</w:t>
            </w:r>
          </w:p>
        </w:tc>
        <w:tc>
          <w:tcPr>
            <w:tcW w:type="dxa" w:w="1400"/>
            <w:shd w:fill="EA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Mes 5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Implementación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Planificada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Puesta en marcha y migración</w:t>
            </w:r>
          </w:p>
        </w:tc>
        <w:tc>
          <w:tcPr>
            <w:tcW w:type="dxa" w:w="1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Mes 6</w:t>
            </w:r>
          </w:p>
        </w:tc>
      </w:tr>
    </w:tbl>
    <w:p>
      <w:pPr>
        <w:spacing w:after="160" w:line="300"/>
      </w:pPr>
      <w:r>
        <w:rPr>
          <w:i w:val="false"/>
          <w:iCs w:val="false"/>
          <w:color w:val="202020"/>
          <w:sz w:val="21"/>
          <w:szCs w:val="21"/>
        </w:rPr>
        <w:t xml:space="preserve"> 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200"/>
        <w:gridCol w:w="2200"/>
        <w:gridCol w:w="1400"/>
      </w:tblGrid>
      <w:tr>
        <w:trPr>
          <w:tblHeader/>
        </w:trPr>
        <w:tc>
          <w:tcPr>
            <w:tcW w:type="dxa" w:w="38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22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Nombre</w:t>
            </w:r>
          </w:p>
        </w:tc>
        <w:tc>
          <w:tcPr>
            <w:tcW w:type="dxa" w:w="22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Firma</w:t>
            </w:r>
          </w:p>
        </w:tc>
        <w:tc>
          <w:tcPr>
            <w:tcW w:type="dxa" w:w="14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Fecha</w:t>
            </w:r>
          </w:p>
        </w:tc>
      </w:tr>
      <w:tr>
        <w:tc>
          <w:tcPr>
            <w:tcW w:type="dxa" w:w="3800"/>
            <w:shd w:fill="EA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Patrocinador Ejecutivo (Director General)</w:t>
            </w:r>
          </w:p>
        </w:tc>
        <w:tc>
          <w:tcPr>
            <w:tcW w:type="dxa" w:w="2200"/>
            <w:shd w:fill="EA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shd w:fill="EA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shd w:fill="EA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Arquitecto Principal / Líder del Proyecto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800"/>
            <w:shd w:fill="EA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Arquitecto de Negocio</w:t>
            </w:r>
          </w:p>
        </w:tc>
        <w:tc>
          <w:tcPr>
            <w:tcW w:type="dxa" w:w="2200"/>
            <w:shd w:fill="EA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shd w:fill="EA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shd w:fill="EA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pBdr>
          <w:bottom w:val="single" w:color="0F6B72" w:sz="6" w:space="4"/>
        </w:pBdr>
        <w:spacing w:after="160" w:before="320"/>
      </w:pPr>
      <w:r>
        <w:rPr>
          <w:b/>
          <w:bCs/>
          <w:color w:val="1F3864"/>
          <w:sz w:val="30"/>
          <w:szCs w:val="30"/>
        </w:rPr>
        <w:t xml:space="preserve">Referencias</w:t>
      </w:r>
    </w:p>
    <w:p>
      <w:pPr>
        <w:spacing w:after="160" w:line="276"/>
        <w:ind w:left="360" w:hanging="360"/>
      </w:pPr>
      <w:r>
        <w:rPr>
          <w:sz w:val="20"/>
          <w:szCs w:val="20"/>
        </w:rPr>
        <w:t xml:space="preserve">Congreso de Colombia. (2012). Ley 1581 de 2012, por la cual se dictan disposiciones generales para la protección de datos personales. Diario Oficial No. 48.587. https://www.funcionpublica.gov.co/eva/gestornormativo/norma.php?i=49981</w:t>
      </w:r>
    </w:p>
    <w:p>
      <w:pPr>
        <w:spacing w:after="160" w:line="276"/>
        <w:ind w:left="360" w:hanging="360"/>
      </w:pPr>
      <w:r>
        <w:rPr>
          <w:sz w:val="20"/>
          <w:szCs w:val="20"/>
        </w:rPr>
        <w:t xml:space="preserve">International Organization for Standardization. (2011). ISO/IEC 25010:2011 — Systems and software engineering — Systems and software Quality Requirements and Evaluation (SQuaRE) — System and software quality models. https://www.iso.org/standard/35733.html</w:t>
      </w:r>
    </w:p>
    <w:p>
      <w:pPr>
        <w:spacing w:after="160" w:line="276"/>
        <w:ind w:left="360" w:hanging="360"/>
      </w:pPr>
      <w:r>
        <w:rPr>
          <w:sz w:val="20"/>
          <w:szCs w:val="20"/>
        </w:rPr>
        <w:t xml:space="preserve">Parlamento Europeo y Consejo de la Unión Europea. (2016). Reglamento (UE) 2016/679, relativo a la protección de las personas físicas en lo que respecta al tratamiento de datos personales (RGPD). Diario Oficial de la Unión Europea. https://eur-lex.europa.eu/eli/reg/2016/679/oj</w:t>
      </w:r>
    </w:p>
    <w:p>
      <w:pPr>
        <w:spacing w:after="160" w:line="276"/>
        <w:ind w:left="360" w:hanging="360"/>
      </w:pPr>
      <w:r>
        <w:rPr>
          <w:sz w:val="20"/>
          <w:szCs w:val="20"/>
        </w:rPr>
        <w:t xml:space="preserve">The Open Group. (2018). The TOGAF® Standard, Version 9.2 — Phase A: Architecture Vision. https://pubs.opengroup.org/architecture/togaf9-doc/arch/chap06.html</w:t>
      </w:r>
    </w:p>
    <w:p>
      <w:pPr>
        <w:spacing w:after="160" w:line="276"/>
        <w:ind w:left="360" w:hanging="360"/>
      </w:pPr>
      <w:r>
        <w:rPr>
          <w:sz w:val="20"/>
          <w:szCs w:val="20"/>
        </w:rPr>
        <w:t xml:space="preserve">The Open Group. (2018). The TOGAF® Standard, Version 9.2. https://www.opengroup.org/togaf-standard-version-92-overview</w:t>
      </w:r>
    </w:p>
    <w:sectPr>
      <w:headerReference w:type="default" r:id="rId9"/>
      <w:footerReference w:type="default" r:id="rId10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RutaConecta S.A.S. — Fase A: Visión de la Arquitectura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RutaConecta S.A.S. — Fase A: Visión de la Arquitectura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2026-09-01T23:54:06.366Z</dcterms:created>
  <dcterms:modified xsi:type="dcterms:W3CDTF">2026-09-01T23:54:06.366Z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