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16F6F" w:rsidRDefault="00000000">
      <w:pPr>
        <w:spacing w:after="160"/>
        <w:jc w:val="center"/>
        <w:rPr>
          <w:rFonts w:ascii="Calibri" w:eastAsia="Calibri" w:hAnsi="Calibri" w:cs="Calibri"/>
          <w:b/>
          <w:bCs/>
          <w:sz w:val="28"/>
          <w:szCs w:val="28"/>
        </w:rPr>
      </w:pPr>
      <w:r>
        <w:rPr>
          <w:rFonts w:ascii="Calibri" w:eastAsia="Calibri" w:hAnsi="Calibri" w:cs="Calibri"/>
          <w:b/>
          <w:bCs/>
          <w:sz w:val="28"/>
          <w:szCs w:val="28"/>
        </w:rPr>
        <w:t>Evaluación de la perspectiva de la población de la Puna Jujeña con respecto a la muña muña (</w:t>
      </w:r>
      <w:r>
        <w:rPr>
          <w:rFonts w:ascii="Calibri" w:eastAsia="Calibri" w:hAnsi="Calibri" w:cs="Calibri"/>
          <w:b/>
          <w:bCs/>
          <w:i/>
          <w:iCs/>
          <w:sz w:val="28"/>
          <w:szCs w:val="28"/>
        </w:rPr>
        <w:t>Clinopodium gilliesii</w:t>
      </w:r>
      <w:r>
        <w:rPr>
          <w:rFonts w:ascii="Calibri" w:eastAsia="Calibri" w:hAnsi="Calibri" w:cs="Calibri"/>
          <w:b/>
          <w:bCs/>
          <w:sz w:val="28"/>
          <w:szCs w:val="28"/>
        </w:rPr>
        <w:t xml:space="preserve">) y su efectividad a cuadros de acidez y pesadez. </w:t>
      </w:r>
    </w:p>
    <w:p w14:paraId="00000002" w14:textId="77777777" w:rsidR="00916F6F" w:rsidRDefault="00000000">
      <w:pPr>
        <w:spacing w:after="160"/>
        <w:jc w:val="center"/>
        <w:rPr>
          <w:rFonts w:ascii="Calibri" w:eastAsia="Calibri" w:hAnsi="Calibri" w:cs="Calibri"/>
          <w:vertAlign w:val="subscript"/>
        </w:rPr>
      </w:pPr>
      <w:r>
        <w:rPr>
          <w:rFonts w:ascii="Calibri" w:eastAsia="Calibri" w:hAnsi="Calibri" w:cs="Calibri"/>
        </w:rPr>
        <w:t>Iara Guadalupe Balanza Almada</w:t>
      </w:r>
      <w:r>
        <w:rPr>
          <w:rFonts w:ascii="Calibri" w:eastAsia="Calibri" w:hAnsi="Calibri" w:cs="Calibri"/>
          <w:vertAlign w:val="subscript"/>
        </w:rPr>
        <w:t>1</w:t>
      </w:r>
      <w:r>
        <w:rPr>
          <w:rFonts w:ascii="Calibri" w:eastAsia="Calibri" w:hAnsi="Calibri" w:cs="Calibri"/>
        </w:rPr>
        <w:t>, Benjamin Alejandro Gomez</w:t>
      </w:r>
      <w:r>
        <w:rPr>
          <w:rFonts w:ascii="Calibri" w:eastAsia="Calibri" w:hAnsi="Calibri" w:cs="Calibri"/>
          <w:vertAlign w:val="subscript"/>
        </w:rPr>
        <w:t>1</w:t>
      </w:r>
      <w:r>
        <w:rPr>
          <w:rFonts w:ascii="Calibri" w:eastAsia="Calibri" w:hAnsi="Calibri" w:cs="Calibri"/>
        </w:rPr>
        <w:t>, Orlando Valentin Sanchez</w:t>
      </w:r>
      <w:r>
        <w:rPr>
          <w:rFonts w:ascii="Calibri" w:eastAsia="Calibri" w:hAnsi="Calibri" w:cs="Calibri"/>
          <w:vertAlign w:val="subscript"/>
        </w:rPr>
        <w:t>1</w:t>
      </w:r>
    </w:p>
    <w:p w14:paraId="00000003" w14:textId="77777777" w:rsidR="00916F6F" w:rsidRDefault="00000000">
      <w:pPr>
        <w:spacing w:after="160"/>
        <w:jc w:val="center"/>
        <w:rPr>
          <w:rFonts w:ascii="Calibri" w:eastAsia="Calibri" w:hAnsi="Calibri" w:cs="Calibri"/>
        </w:rPr>
      </w:pPr>
      <w:r>
        <w:rPr>
          <w:rFonts w:ascii="Calibri" w:eastAsia="Calibri" w:hAnsi="Calibri" w:cs="Calibri"/>
        </w:rPr>
        <w:t>1 Facultad de Ciencias Agrarias UNJu</w:t>
      </w:r>
    </w:p>
    <w:p w14:paraId="00000004" w14:textId="77777777" w:rsidR="00916F6F" w:rsidRDefault="00000000">
      <w:pPr>
        <w:rPr>
          <w:rFonts w:ascii="Calibri" w:eastAsia="Calibri" w:hAnsi="Calibri" w:cs="Calibri"/>
          <w:b/>
          <w:bCs/>
          <w:sz w:val="24"/>
          <w:szCs w:val="24"/>
        </w:rPr>
      </w:pPr>
      <w:r>
        <w:rPr>
          <w:rFonts w:ascii="Calibri" w:eastAsia="Calibri" w:hAnsi="Calibri" w:cs="Calibri"/>
          <w:b/>
          <w:bCs/>
          <w:sz w:val="24"/>
          <w:szCs w:val="24"/>
        </w:rPr>
        <w:t xml:space="preserve">Marco Teórico </w:t>
      </w:r>
    </w:p>
    <w:p w14:paraId="00000005" w14:textId="77777777" w:rsidR="00916F6F" w:rsidRDefault="00000000">
      <w:pPr>
        <w:rPr>
          <w:rFonts w:ascii="Calibri" w:eastAsia="Calibri" w:hAnsi="Calibri" w:cs="Calibri"/>
          <w:sz w:val="24"/>
          <w:szCs w:val="24"/>
        </w:rPr>
      </w:pPr>
      <w:r>
        <w:rPr>
          <w:rFonts w:ascii="Calibri" w:eastAsia="Calibri" w:hAnsi="Calibri" w:cs="Calibri"/>
          <w:sz w:val="24"/>
          <w:szCs w:val="24"/>
        </w:rPr>
        <w:t xml:space="preserve">La etnobotánica se define de manera ecológica y evolutiva como el estudio de las interrelaciones directas entre los grupos humanos y las plantas, abarcando tanto los aspectos cognitivos como los de uso en contextos culturales específicos (Ford, 1978). En las regiones del noroeste argentino, la medicina tradicional herbolaria mantiene una vigencia absoluta como un sistema sociocultural complejo que responde a las necesidades primarias de salud de la población (Prieto-González et al, 2004). Dentro de este panorama, el estudio de las plantas medicinales y el conocimiento de los curanderos tradicionales resulta indispensable para la prospección biológica y la conservación del patrimonio biocultural (De la Torre, 1999). Por lo tanto, analizar científicamente estas propiedades abre la puerta al desarrollo de alternativas terapéuticas accesibles, validadas y adaptadas a la realidad sanitaria de las comunidades andinas (Bermúdez et al., 2005). </w:t>
      </w:r>
    </w:p>
    <w:p w14:paraId="00000006" w14:textId="77777777" w:rsidR="00916F6F" w:rsidRDefault="00000000">
      <w:pPr>
        <w:rPr>
          <w:rFonts w:ascii="Calibri" w:eastAsia="Calibri" w:hAnsi="Calibri" w:cs="Calibri"/>
          <w:sz w:val="24"/>
          <w:szCs w:val="24"/>
        </w:rPr>
      </w:pPr>
      <w:r>
        <w:rPr>
          <w:rFonts w:ascii="Calibri" w:eastAsia="Calibri" w:hAnsi="Calibri" w:cs="Calibri"/>
          <w:sz w:val="24"/>
          <w:szCs w:val="24"/>
        </w:rPr>
        <w:t>Diversos registros etnobotánicos locales indican que la Muña-muña (</w:t>
      </w:r>
      <w:r>
        <w:rPr>
          <w:rFonts w:ascii="Calibri" w:eastAsia="Calibri" w:hAnsi="Calibri" w:cs="Calibri"/>
          <w:i/>
          <w:iCs/>
          <w:sz w:val="24"/>
          <w:szCs w:val="24"/>
        </w:rPr>
        <w:t>Clinopodium gilliesii</w:t>
      </w:r>
      <w:r>
        <w:rPr>
          <w:rFonts w:ascii="Calibri" w:eastAsia="Calibri" w:hAnsi="Calibri" w:cs="Calibri"/>
          <w:sz w:val="24"/>
          <w:szCs w:val="24"/>
        </w:rPr>
        <w:t xml:space="preserve">) es una de las plantas medicinales andinas más valoradas y consumidas por los pobladores para el alivio de cuadros digestivos y dolores estomacales. Debido a esto, el comercio y consumo de plantas medicinales nativas mantiene una vigencia absoluta, abasteciendo tanto a las áreas rurales como a los mercados de los principales centros urbanos de la provincia (Giménez et al., 2014). Asimismo, la investigación científica moderna destaca el interés creciente sobre la flora medicinal del noroeste argentino, promoviendo estudios que buscan profundizar en la caracterización, usos y estado del conocimiento de estos recursos (Vignale y Pochettino, 2011). Sin embargo, en el contexto actual se evidencia una constante transformación de estos saberes ancestrales debido a procesos de migración, observándose de manera concreta cómo ciertas plantas nativas devienen en suplementos dietéticos al trasladarse a escenarios urbanos (Hurrell et al., 2013). </w:t>
      </w:r>
    </w:p>
    <w:p w14:paraId="00000007" w14:textId="77777777" w:rsidR="00916F6F" w:rsidRDefault="00000000">
      <w:pPr>
        <w:rPr>
          <w:rFonts w:ascii="Calibri" w:eastAsia="Calibri" w:hAnsi="Calibri" w:cs="Calibri"/>
          <w:sz w:val="24"/>
          <w:szCs w:val="24"/>
        </w:rPr>
      </w:pPr>
      <w:r>
        <w:rPr>
          <w:rFonts w:ascii="Calibri" w:eastAsia="Calibri" w:hAnsi="Calibri" w:cs="Calibri"/>
          <w:sz w:val="24"/>
          <w:szCs w:val="24"/>
        </w:rPr>
        <w:t xml:space="preserve"> En este ecosistema, los factores comunitarios introducen variaciones significativas en las prácticas de recolección y consumo, observándose concretamente diferencias y patrones específicos según el género y la edad de los informantes (Arias Toledo, 2009). Por lo tanto, aún persiste un marcado vacío de conocimiento respecto a</w:t>
      </w:r>
      <w:r>
        <w:rPr>
          <w:rFonts w:ascii="Calibri" w:eastAsia="Calibri" w:hAnsi="Calibri" w:cs="Calibri"/>
          <w:color w:val="FF0000"/>
          <w:sz w:val="24"/>
          <w:szCs w:val="24"/>
        </w:rPr>
        <w:t xml:space="preserve"> </w:t>
      </w:r>
      <w:r>
        <w:rPr>
          <w:rFonts w:ascii="Calibri" w:eastAsia="Calibri" w:hAnsi="Calibri" w:cs="Calibri"/>
          <w:sz w:val="24"/>
          <w:szCs w:val="24"/>
        </w:rPr>
        <w:t xml:space="preserve">la perspectiva de los propios pobladores sobre la eficacia de tal infusión. Por ello, evaluar a los usuarios habituales de entre 40 y 60 años permite estudiar a un grupo con la experiencia vivencial acumulada necesaria para rescatar de forma crítica la perspectiva del actor social en su propio campo de acción. </w:t>
      </w:r>
    </w:p>
    <w:p w14:paraId="00000008" w14:textId="77777777" w:rsidR="00916F6F" w:rsidRDefault="00000000">
      <w:pPr>
        <w:rPr>
          <w:rFonts w:ascii="Calibri" w:eastAsia="Calibri" w:hAnsi="Calibri" w:cs="Calibri"/>
          <w:sz w:val="24"/>
          <w:szCs w:val="24"/>
        </w:rPr>
      </w:pPr>
      <w:r>
        <w:rPr>
          <w:rFonts w:ascii="Calibri" w:eastAsia="Calibri" w:hAnsi="Calibri" w:cs="Calibri"/>
          <w:sz w:val="24"/>
          <w:szCs w:val="24"/>
        </w:rPr>
        <w:lastRenderedPageBreak/>
        <w:t>Nuestra propuesta de investigación plantea como objetivo analizar la perspectiva de los pobladores de la Puna jujeña con respecto a la eficacia de la Muña-muña (</w:t>
      </w:r>
      <w:r>
        <w:rPr>
          <w:rFonts w:ascii="Calibri" w:eastAsia="Calibri" w:hAnsi="Calibri" w:cs="Calibri"/>
          <w:i/>
          <w:iCs/>
          <w:sz w:val="24"/>
          <w:szCs w:val="24"/>
        </w:rPr>
        <w:t>Clinopodium gilliesii</w:t>
      </w:r>
      <w:r>
        <w:rPr>
          <w:rFonts w:ascii="Calibri" w:eastAsia="Calibri" w:hAnsi="Calibri" w:cs="Calibri"/>
          <w:sz w:val="24"/>
          <w:szCs w:val="24"/>
        </w:rPr>
        <w:t xml:space="preserve">) en el tratamiento de cuadros de acidez y pesadez. Y poner a prueba la siguiente </w:t>
      </w:r>
    </w:p>
    <w:p w14:paraId="00000009" w14:textId="77777777" w:rsidR="00916F6F" w:rsidRDefault="00000000">
      <w:pPr>
        <w:rPr>
          <w:rFonts w:ascii="Calibri" w:eastAsia="Calibri" w:hAnsi="Calibri" w:cs="Calibri"/>
          <w:sz w:val="24"/>
          <w:szCs w:val="24"/>
        </w:rPr>
      </w:pPr>
      <w:r>
        <w:rPr>
          <w:rFonts w:ascii="Calibri" w:eastAsia="Calibri" w:hAnsi="Calibri" w:cs="Calibri"/>
          <w:sz w:val="24"/>
          <w:szCs w:val="24"/>
        </w:rPr>
        <w:t>hipótesis:  La perspectiva de la comunidad de la Puna Jujeña sobre los beneficios de la muña-muña en el tratado de cuadros de acidez y pesadez es altamente eficaz.</w:t>
      </w:r>
    </w:p>
    <w:p w14:paraId="0000000A" w14:textId="77777777" w:rsidR="00916F6F" w:rsidRDefault="00000000">
      <w:pPr>
        <w:widowControl w:val="0"/>
        <w:spacing w:before="32" w:line="240" w:lineRule="auto"/>
        <w:ind w:right="359"/>
        <w:rPr>
          <w:rFonts w:ascii="Calibri" w:eastAsia="Calibri" w:hAnsi="Calibri" w:cs="Calibri"/>
          <w:b/>
          <w:bCs/>
          <w:sz w:val="24"/>
          <w:szCs w:val="24"/>
        </w:rPr>
      </w:pPr>
      <w:r>
        <w:rPr>
          <w:rFonts w:ascii="Calibri" w:eastAsia="Calibri" w:hAnsi="Calibri" w:cs="Calibri"/>
          <w:b/>
          <w:bCs/>
          <w:sz w:val="24"/>
          <w:szCs w:val="24"/>
        </w:rPr>
        <w:t>Propuesta metodológica.</w:t>
      </w:r>
    </w:p>
    <w:p w14:paraId="0000000B" w14:textId="77777777" w:rsidR="00916F6F" w:rsidRDefault="00000000">
      <w:pPr>
        <w:widowControl w:val="0"/>
        <w:spacing w:before="32" w:line="240" w:lineRule="auto"/>
        <w:ind w:right="359"/>
        <w:rPr>
          <w:rFonts w:ascii="Calibri" w:eastAsia="Calibri" w:hAnsi="Calibri" w:cs="Calibri"/>
          <w:sz w:val="24"/>
          <w:szCs w:val="24"/>
        </w:rPr>
      </w:pPr>
      <w:r>
        <w:rPr>
          <w:rFonts w:ascii="Calibri" w:eastAsia="Calibri" w:hAnsi="Calibri" w:cs="Calibri"/>
          <w:sz w:val="24"/>
          <w:szCs w:val="24"/>
        </w:rPr>
        <w:t xml:space="preserve"> El </w:t>
      </w:r>
      <w:r>
        <w:rPr>
          <w:rFonts w:ascii="Calibri" w:eastAsia="Calibri" w:hAnsi="Calibri" w:cs="Calibri"/>
          <w:b/>
          <w:bCs/>
          <w:sz w:val="24"/>
          <w:szCs w:val="24"/>
        </w:rPr>
        <w:t>área de estudio</w:t>
      </w:r>
      <w:r>
        <w:rPr>
          <w:rFonts w:ascii="Calibri" w:eastAsia="Calibri" w:hAnsi="Calibri" w:cs="Calibri"/>
          <w:sz w:val="24"/>
          <w:szCs w:val="24"/>
        </w:rPr>
        <w:t xml:space="preserve"> de este trabajo de investigación se desarrollará en la Puna jujeña, Provincia de Jujuy, Argentina. Esta región se caracteriza por su aislamiento relativo de la urbanización. La Puna se ubica en el extremo noroeste de Argentina, abarcando el sector occidental de Jujuy en el límite con Chile y Bolivia. En este territorio de altura, el aislamiento geográfico y la rigurosidad climática han propiciado la preservación de la medicina tradicional.</w:t>
      </w:r>
    </w:p>
    <w:p w14:paraId="0000000C" w14:textId="34FE4E3B" w:rsidR="00916F6F" w:rsidRDefault="00000000">
      <w:pPr>
        <w:widowControl w:val="0"/>
        <w:spacing w:before="32" w:line="240" w:lineRule="auto"/>
        <w:ind w:right="359"/>
        <w:rPr>
          <w:rFonts w:ascii="Calibri" w:eastAsia="Calibri" w:hAnsi="Calibri" w:cs="Calibri"/>
          <w:sz w:val="24"/>
          <w:szCs w:val="24"/>
        </w:rPr>
      </w:pPr>
      <w:r>
        <w:rPr>
          <w:rFonts w:ascii="Calibri" w:eastAsia="Calibri" w:hAnsi="Calibri" w:cs="Calibri"/>
          <w:sz w:val="24"/>
          <w:szCs w:val="24"/>
        </w:rPr>
        <w:t xml:space="preserve"> Para ello nos propusimos hacer una investigación el cual nuestro </w:t>
      </w:r>
      <w:r>
        <w:rPr>
          <w:rFonts w:ascii="Calibri" w:eastAsia="Calibri" w:hAnsi="Calibri" w:cs="Calibri"/>
          <w:b/>
          <w:bCs/>
          <w:sz w:val="24"/>
          <w:szCs w:val="24"/>
        </w:rPr>
        <w:t>objeto de estudio es la población de la puna jujeña</w:t>
      </w:r>
      <w:r>
        <w:rPr>
          <w:rFonts w:ascii="Calibri" w:eastAsia="Calibri" w:hAnsi="Calibri" w:cs="Calibri"/>
          <w:sz w:val="24"/>
          <w:szCs w:val="24"/>
        </w:rPr>
        <w:t xml:space="preserve">. Por lo </w:t>
      </w:r>
      <w:r w:rsidR="00331483">
        <w:rPr>
          <w:rFonts w:ascii="Calibri" w:eastAsia="Calibri" w:hAnsi="Calibri" w:cs="Calibri"/>
          <w:sz w:val="24"/>
          <w:szCs w:val="24"/>
        </w:rPr>
        <w:t>tanto,</w:t>
      </w:r>
      <w:r>
        <w:rPr>
          <w:rFonts w:ascii="Calibri" w:eastAsia="Calibri" w:hAnsi="Calibri" w:cs="Calibri"/>
          <w:sz w:val="24"/>
          <w:szCs w:val="24"/>
        </w:rPr>
        <w:t xml:space="preserve"> la </w:t>
      </w:r>
      <w:r>
        <w:rPr>
          <w:rFonts w:ascii="Calibri" w:eastAsia="Calibri" w:hAnsi="Calibri" w:cs="Calibri"/>
          <w:b/>
          <w:bCs/>
          <w:sz w:val="24"/>
          <w:szCs w:val="24"/>
        </w:rPr>
        <w:t>unidad de análisis</w:t>
      </w:r>
      <w:r>
        <w:rPr>
          <w:rFonts w:ascii="Calibri" w:eastAsia="Calibri" w:hAnsi="Calibri" w:cs="Calibri"/>
          <w:sz w:val="24"/>
          <w:szCs w:val="24"/>
        </w:rPr>
        <w:t xml:space="preserve"> es cada poblador de la puna jujeña que ingiera la muña muña. </w:t>
      </w:r>
    </w:p>
    <w:p w14:paraId="0000000D" w14:textId="77777777" w:rsidR="00916F6F" w:rsidRDefault="00000000">
      <w:pPr>
        <w:widowControl w:val="0"/>
        <w:spacing w:before="32" w:line="240" w:lineRule="auto"/>
        <w:ind w:right="359"/>
        <w:rPr>
          <w:rFonts w:ascii="Calibri" w:eastAsia="Calibri" w:hAnsi="Calibri" w:cs="Calibri"/>
          <w:sz w:val="24"/>
          <w:szCs w:val="24"/>
        </w:rPr>
      </w:pPr>
      <w:r>
        <w:rPr>
          <w:rFonts w:ascii="Calibri" w:eastAsia="Calibri" w:hAnsi="Calibri" w:cs="Calibri"/>
          <w:sz w:val="24"/>
          <w:szCs w:val="24"/>
        </w:rPr>
        <w:t xml:space="preserve"> Para delimitar más, la </w:t>
      </w:r>
      <w:r>
        <w:rPr>
          <w:rFonts w:ascii="Calibri" w:eastAsia="Calibri" w:hAnsi="Calibri" w:cs="Calibri"/>
          <w:b/>
          <w:bCs/>
          <w:sz w:val="24"/>
          <w:szCs w:val="24"/>
        </w:rPr>
        <w:t xml:space="preserve">población </w:t>
      </w:r>
      <w:r>
        <w:rPr>
          <w:rFonts w:ascii="Calibri" w:eastAsia="Calibri" w:hAnsi="Calibri" w:cs="Calibri"/>
          <w:sz w:val="24"/>
          <w:szCs w:val="24"/>
        </w:rPr>
        <w:t xml:space="preserve">que vamos a medir son cada poblador individual de entre 40 y 60 años de la Puna jujeña que consume la infusión de Muña-muña. El tipo de </w:t>
      </w:r>
      <w:r>
        <w:rPr>
          <w:rFonts w:ascii="Calibri" w:eastAsia="Calibri" w:hAnsi="Calibri" w:cs="Calibri"/>
          <w:b/>
          <w:bCs/>
          <w:sz w:val="24"/>
          <w:szCs w:val="24"/>
        </w:rPr>
        <w:t>muestra</w:t>
      </w:r>
      <w:r>
        <w:rPr>
          <w:rFonts w:ascii="Calibri" w:eastAsia="Calibri" w:hAnsi="Calibri" w:cs="Calibri"/>
          <w:sz w:val="24"/>
          <w:szCs w:val="24"/>
        </w:rPr>
        <w:t xml:space="preserve"> será de tipo probabilística seleccionando pobladores al azar para que todos tengan las mismas probabilidades de ser seleccionados, y así reducir el error sistemático o sesgo en la investigación. Al mismo tiempo tenemos que presentar diferentes </w:t>
      </w:r>
      <w:r>
        <w:rPr>
          <w:rFonts w:ascii="Calibri" w:eastAsia="Calibri" w:hAnsi="Calibri" w:cs="Calibri"/>
          <w:b/>
          <w:bCs/>
          <w:sz w:val="24"/>
          <w:szCs w:val="24"/>
        </w:rPr>
        <w:t>criterios</w:t>
      </w:r>
      <w:r>
        <w:rPr>
          <w:rFonts w:ascii="Calibri" w:eastAsia="Calibri" w:hAnsi="Calibri" w:cs="Calibri"/>
          <w:sz w:val="24"/>
          <w:szCs w:val="24"/>
        </w:rPr>
        <w:t xml:space="preserve">, para garantizar la homogeneidad de la muestra y la calidad de los datos, establecemos los siguientes criterios de selección: </w:t>
      </w:r>
    </w:p>
    <w:p w14:paraId="0000000E" w14:textId="77777777" w:rsidR="00916F6F" w:rsidRDefault="00000000">
      <w:pPr>
        <w:widowControl w:val="0"/>
        <w:numPr>
          <w:ilvl w:val="0"/>
          <w:numId w:val="1"/>
        </w:numPr>
        <w:spacing w:before="32" w:line="240" w:lineRule="auto"/>
        <w:ind w:right="359"/>
        <w:rPr>
          <w:sz w:val="24"/>
          <w:szCs w:val="24"/>
        </w:rPr>
      </w:pPr>
      <w:r>
        <w:rPr>
          <w:rFonts w:ascii="Calibri" w:eastAsia="Calibri" w:hAnsi="Calibri" w:cs="Calibri"/>
          <w:b/>
          <w:bCs/>
          <w:sz w:val="24"/>
          <w:szCs w:val="24"/>
        </w:rPr>
        <w:t>Criterios de inclusión:</w:t>
      </w:r>
      <w:r>
        <w:rPr>
          <w:rFonts w:ascii="Calibri" w:eastAsia="Calibri" w:hAnsi="Calibri" w:cs="Calibri"/>
          <w:sz w:val="24"/>
          <w:szCs w:val="24"/>
        </w:rPr>
        <w:t xml:space="preserve"> Pobladores residentes estables de la Puna, con una edad comprendida entre los 40 y 60 años, que utilicen la infusión de Muña-muña como recurso habitual ante el malestar estomacal.</w:t>
      </w:r>
    </w:p>
    <w:p w14:paraId="0000000F" w14:textId="77777777" w:rsidR="00916F6F" w:rsidRDefault="00000000">
      <w:pPr>
        <w:widowControl w:val="0"/>
        <w:numPr>
          <w:ilvl w:val="0"/>
          <w:numId w:val="1"/>
        </w:numPr>
        <w:spacing w:line="240" w:lineRule="auto"/>
        <w:ind w:right="359"/>
        <w:rPr>
          <w:sz w:val="24"/>
          <w:szCs w:val="24"/>
        </w:rPr>
      </w:pPr>
      <w:r>
        <w:rPr>
          <w:rFonts w:ascii="Calibri" w:eastAsia="Calibri" w:hAnsi="Calibri" w:cs="Calibri"/>
          <w:b/>
          <w:bCs/>
          <w:sz w:val="24"/>
          <w:szCs w:val="24"/>
        </w:rPr>
        <w:t>Criterios de exclusión:</w:t>
      </w:r>
      <w:r>
        <w:rPr>
          <w:rFonts w:ascii="Calibri" w:eastAsia="Calibri" w:hAnsi="Calibri" w:cs="Calibri"/>
          <w:sz w:val="24"/>
          <w:szCs w:val="24"/>
        </w:rPr>
        <w:t xml:space="preserve"> Individuos que presenten patologías gastrointestinales crónicas graves o que se encuentren bajo tratamiento médico continuo con fármacos antiácidos, ya que estas características podrían interferir con la calidad de los datos al enmascarar el efecto real de la planta.</w:t>
      </w:r>
    </w:p>
    <w:p w14:paraId="00000010" w14:textId="77777777" w:rsidR="00916F6F" w:rsidRDefault="00000000">
      <w:pPr>
        <w:widowControl w:val="0"/>
        <w:numPr>
          <w:ilvl w:val="0"/>
          <w:numId w:val="1"/>
        </w:numPr>
        <w:spacing w:line="240" w:lineRule="auto"/>
        <w:ind w:right="359"/>
        <w:rPr>
          <w:sz w:val="24"/>
          <w:szCs w:val="24"/>
        </w:rPr>
      </w:pPr>
      <w:r>
        <w:rPr>
          <w:rFonts w:ascii="Calibri" w:eastAsia="Calibri" w:hAnsi="Calibri" w:cs="Calibri"/>
          <w:b/>
          <w:bCs/>
          <w:sz w:val="24"/>
          <w:szCs w:val="24"/>
        </w:rPr>
        <w:t>Criterios de eliminación:</w:t>
      </w:r>
      <w:r>
        <w:rPr>
          <w:rFonts w:ascii="Calibri" w:eastAsia="Calibri" w:hAnsi="Calibri" w:cs="Calibri"/>
          <w:sz w:val="24"/>
          <w:szCs w:val="24"/>
        </w:rPr>
        <w:t xml:space="preserve"> Sujetos que decidan retirar voluntariamente su participación del estudio, o que entreguen las fichas de registro incompletas."</w:t>
      </w:r>
    </w:p>
    <w:p w14:paraId="00000011" w14:textId="5881D5E0" w:rsidR="00916F6F" w:rsidRDefault="00000000">
      <w:pPr>
        <w:widowControl w:val="0"/>
        <w:spacing w:before="32" w:line="240" w:lineRule="auto"/>
        <w:ind w:right="359"/>
        <w:rPr>
          <w:rFonts w:ascii="Calibri" w:eastAsia="Calibri" w:hAnsi="Calibri" w:cs="Calibri"/>
          <w:sz w:val="24"/>
          <w:szCs w:val="24"/>
        </w:rPr>
      </w:pPr>
      <w:r>
        <w:rPr>
          <w:rFonts w:ascii="Calibri" w:eastAsia="Calibri" w:hAnsi="Calibri" w:cs="Calibri"/>
          <w:sz w:val="24"/>
          <w:szCs w:val="24"/>
        </w:rPr>
        <w:t xml:space="preserve">En cuanto a las </w:t>
      </w:r>
      <w:r>
        <w:rPr>
          <w:rFonts w:ascii="Calibri" w:eastAsia="Calibri" w:hAnsi="Calibri" w:cs="Calibri"/>
          <w:b/>
          <w:bCs/>
          <w:sz w:val="24"/>
          <w:szCs w:val="24"/>
        </w:rPr>
        <w:t>variables y su operacionalización</w:t>
      </w:r>
      <w:r>
        <w:rPr>
          <w:rFonts w:ascii="Calibri" w:eastAsia="Calibri" w:hAnsi="Calibri" w:cs="Calibri"/>
          <w:sz w:val="24"/>
          <w:szCs w:val="24"/>
        </w:rPr>
        <w:t xml:space="preserve">, la variable principal de la Perspectiva de la eficacia, la cual se define como el grado de alivio del malestar estomacal que el propio poblador seleccionado, percibe tras tomar la infusión. Se trata de una variable discreta que mediremos mediante el procedimiento de pedirle al poblador que cuente y le asigna un valor entero en una escala numérica de 1 a 5 (donde 1 es “nada </w:t>
      </w:r>
      <w:r w:rsidR="00331483">
        <w:rPr>
          <w:rFonts w:ascii="Calibri" w:eastAsia="Calibri" w:hAnsi="Calibri" w:cs="Calibri"/>
          <w:sz w:val="24"/>
          <w:szCs w:val="24"/>
        </w:rPr>
        <w:t>eficaz”</w:t>
      </w:r>
      <w:r>
        <w:rPr>
          <w:rFonts w:ascii="Calibri" w:eastAsia="Calibri" w:hAnsi="Calibri" w:cs="Calibri"/>
          <w:sz w:val="24"/>
          <w:szCs w:val="24"/>
        </w:rPr>
        <w:t xml:space="preserve"> y 5 es “altamente eficaz”).</w:t>
      </w:r>
    </w:p>
    <w:p w14:paraId="00000012" w14:textId="77777777" w:rsidR="00916F6F" w:rsidRDefault="00000000">
      <w:pPr>
        <w:widowControl w:val="0"/>
        <w:spacing w:before="32" w:line="240" w:lineRule="auto"/>
        <w:ind w:right="359"/>
        <w:rPr>
          <w:rFonts w:ascii="Calibri" w:eastAsia="Calibri" w:hAnsi="Calibri" w:cs="Calibri"/>
          <w:sz w:val="24"/>
          <w:szCs w:val="24"/>
        </w:rPr>
      </w:pPr>
      <w:r>
        <w:rPr>
          <w:rFonts w:ascii="Calibri" w:eastAsia="Calibri" w:hAnsi="Calibri" w:cs="Calibri"/>
          <w:sz w:val="24"/>
          <w:szCs w:val="24"/>
        </w:rPr>
        <w:t xml:space="preserve"> Con respecto al </w:t>
      </w:r>
      <w:r>
        <w:rPr>
          <w:rFonts w:ascii="Calibri" w:eastAsia="Calibri" w:hAnsi="Calibri" w:cs="Calibri"/>
          <w:b/>
          <w:bCs/>
          <w:sz w:val="24"/>
          <w:szCs w:val="24"/>
        </w:rPr>
        <w:t xml:space="preserve">tipo de diseño </w:t>
      </w:r>
      <w:r>
        <w:rPr>
          <w:rFonts w:ascii="Calibri" w:eastAsia="Calibri" w:hAnsi="Calibri" w:cs="Calibri"/>
          <w:sz w:val="24"/>
          <w:szCs w:val="24"/>
        </w:rPr>
        <w:t>de esta investigación, el estudio se define como no experimental ya que nos limitamos a observar y registrar los indicadores empíricos en su entorno natural, sin manipular intencionalmente las variables.</w:t>
      </w:r>
    </w:p>
    <w:p w14:paraId="00000013" w14:textId="250D48BC" w:rsidR="00916F6F" w:rsidRDefault="00000000">
      <w:pPr>
        <w:widowControl w:val="0"/>
        <w:spacing w:before="32" w:line="240" w:lineRule="auto"/>
        <w:ind w:right="359"/>
        <w:rPr>
          <w:rFonts w:ascii="Calibri" w:eastAsia="Calibri" w:hAnsi="Calibri" w:cs="Calibri"/>
          <w:sz w:val="24"/>
          <w:szCs w:val="24"/>
        </w:rPr>
      </w:pPr>
      <w:r>
        <w:rPr>
          <w:rFonts w:ascii="Calibri" w:eastAsia="Calibri" w:hAnsi="Calibri" w:cs="Calibri"/>
          <w:sz w:val="24"/>
          <w:szCs w:val="24"/>
        </w:rPr>
        <w:t xml:space="preserve">Para llevar a cabo los </w:t>
      </w:r>
      <w:r>
        <w:rPr>
          <w:rFonts w:ascii="Calibri" w:eastAsia="Calibri" w:hAnsi="Calibri" w:cs="Calibri"/>
          <w:b/>
          <w:bCs/>
          <w:sz w:val="24"/>
          <w:szCs w:val="24"/>
        </w:rPr>
        <w:t>instrumentos y procedimientos de medición</w:t>
      </w:r>
      <w:r>
        <w:rPr>
          <w:rFonts w:ascii="Calibri" w:eastAsia="Calibri" w:hAnsi="Calibri" w:cs="Calibri"/>
          <w:sz w:val="24"/>
          <w:szCs w:val="24"/>
        </w:rPr>
        <w:t xml:space="preserve">, el </w:t>
      </w:r>
      <w:r>
        <w:rPr>
          <w:rFonts w:ascii="Calibri" w:eastAsia="Calibri" w:hAnsi="Calibri" w:cs="Calibri"/>
          <w:b/>
          <w:bCs/>
          <w:sz w:val="24"/>
          <w:szCs w:val="24"/>
        </w:rPr>
        <w:t xml:space="preserve">instrumento </w:t>
      </w:r>
      <w:r>
        <w:rPr>
          <w:rFonts w:ascii="Calibri" w:eastAsia="Calibri" w:hAnsi="Calibri" w:cs="Calibri"/>
          <w:sz w:val="24"/>
          <w:szCs w:val="24"/>
        </w:rPr>
        <w:t xml:space="preserve">elegido es un Cuestionario Estructurado que lleva integrada una Escala de Valoración Sintomática Numérica. El </w:t>
      </w:r>
      <w:r>
        <w:rPr>
          <w:rFonts w:ascii="Calibri" w:eastAsia="Calibri" w:hAnsi="Calibri" w:cs="Calibri"/>
          <w:b/>
          <w:bCs/>
          <w:sz w:val="24"/>
          <w:szCs w:val="24"/>
        </w:rPr>
        <w:t xml:space="preserve">procedimiento </w:t>
      </w:r>
      <w:r>
        <w:rPr>
          <w:rFonts w:ascii="Calibri" w:eastAsia="Calibri" w:hAnsi="Calibri" w:cs="Calibri"/>
          <w:sz w:val="24"/>
          <w:szCs w:val="24"/>
        </w:rPr>
        <w:t xml:space="preserve">se realizará de forma presencial mediante una entrevista personal, donde se le pedirá al poblador que use la escala del 1 al 5 para puntuar la eficacia de la planta. Presentamos la escala: 1 Nada eficaz- </w:t>
      </w:r>
      <w:r w:rsidR="00331483">
        <w:rPr>
          <w:rFonts w:ascii="Calibri" w:eastAsia="Calibri" w:hAnsi="Calibri" w:cs="Calibri"/>
          <w:sz w:val="24"/>
          <w:szCs w:val="24"/>
        </w:rPr>
        <w:t>2 poco</w:t>
      </w:r>
      <w:r>
        <w:rPr>
          <w:rFonts w:ascii="Calibri" w:eastAsia="Calibri" w:hAnsi="Calibri" w:cs="Calibri"/>
          <w:sz w:val="24"/>
          <w:szCs w:val="24"/>
        </w:rPr>
        <w:t xml:space="preserve"> eficaz- 3 Eficaz - 4 Muy eficaz- 5 Altamente eficaz. Esto garantiza la confiabilidad (precisión en la </w:t>
      </w:r>
      <w:r>
        <w:rPr>
          <w:rFonts w:ascii="Calibri" w:eastAsia="Calibri" w:hAnsi="Calibri" w:cs="Calibri"/>
          <w:sz w:val="24"/>
          <w:szCs w:val="24"/>
        </w:rPr>
        <w:lastRenderedPageBreak/>
        <w:t xml:space="preserve">escala) y la validez de la medición. </w:t>
      </w:r>
    </w:p>
    <w:p w14:paraId="00000014" w14:textId="6A795A4A" w:rsidR="00916F6F" w:rsidRDefault="00000000">
      <w:pPr>
        <w:widowControl w:val="0"/>
        <w:spacing w:after="240"/>
        <w:rPr>
          <w:rFonts w:ascii="Calibri" w:eastAsia="Calibri" w:hAnsi="Calibri" w:cs="Calibri"/>
          <w:b/>
          <w:bCs/>
          <w:sz w:val="24"/>
          <w:szCs w:val="24"/>
        </w:rPr>
      </w:pPr>
      <w:r>
        <w:rPr>
          <w:rFonts w:ascii="Calibri" w:eastAsia="Calibri" w:hAnsi="Calibri" w:cs="Calibri"/>
          <w:sz w:val="24"/>
          <w:szCs w:val="24"/>
        </w:rPr>
        <w:t xml:space="preserve">Finalmente, el </w:t>
      </w:r>
      <w:r>
        <w:rPr>
          <w:rFonts w:ascii="Calibri" w:eastAsia="Calibri" w:hAnsi="Calibri" w:cs="Calibri"/>
          <w:b/>
          <w:bCs/>
          <w:sz w:val="24"/>
          <w:szCs w:val="24"/>
        </w:rPr>
        <w:t xml:space="preserve">análisis de </w:t>
      </w:r>
      <w:r w:rsidR="00331483">
        <w:rPr>
          <w:rFonts w:ascii="Calibri" w:eastAsia="Calibri" w:hAnsi="Calibri" w:cs="Calibri"/>
          <w:b/>
          <w:bCs/>
          <w:sz w:val="24"/>
          <w:szCs w:val="24"/>
        </w:rPr>
        <w:t xml:space="preserve">datos </w:t>
      </w:r>
      <w:r w:rsidR="00331483" w:rsidRPr="00331483">
        <w:rPr>
          <w:rFonts w:ascii="Calibri" w:eastAsia="Calibri" w:hAnsi="Calibri" w:cs="Calibri"/>
          <w:sz w:val="24"/>
          <w:szCs w:val="24"/>
        </w:rPr>
        <w:t>al</w:t>
      </w:r>
      <w:r w:rsidRPr="00331483">
        <w:rPr>
          <w:rFonts w:ascii="Calibri" w:eastAsia="Calibri" w:hAnsi="Calibri" w:cs="Calibri"/>
          <w:sz w:val="24"/>
          <w:szCs w:val="24"/>
        </w:rPr>
        <w:t xml:space="preserve"> </w:t>
      </w:r>
      <w:r>
        <w:rPr>
          <w:rFonts w:ascii="Calibri" w:eastAsia="Calibri" w:hAnsi="Calibri" w:cs="Calibri"/>
          <w:sz w:val="24"/>
          <w:szCs w:val="24"/>
        </w:rPr>
        <w:t xml:space="preserve">tratarse de una variable cuantitativa discreta (valores numéricos que se cuentan), los datos se reducirán y describirán mediante el cálculo de medidas de tendencia central, específicamente la media (para obtener el promedio general de eficacia percibida) y la mediana, acompañadas por sus respectivas medidas de dispersión. También se usarán tablas de frecuencias absolutas y porcentajes para presentar los resultados gráficamente. </w:t>
      </w:r>
    </w:p>
    <w:p w14:paraId="00000015" w14:textId="77777777" w:rsidR="00916F6F" w:rsidRDefault="00000000">
      <w:pPr>
        <w:widowControl w:val="0"/>
        <w:spacing w:before="240" w:after="240" w:line="240" w:lineRule="auto"/>
        <w:rPr>
          <w:rFonts w:ascii="Calibri" w:eastAsia="Calibri" w:hAnsi="Calibri" w:cs="Calibri"/>
          <w:b/>
          <w:bCs/>
          <w:sz w:val="24"/>
          <w:szCs w:val="24"/>
        </w:rPr>
      </w:pPr>
      <w:r>
        <w:rPr>
          <w:rFonts w:ascii="Calibri" w:eastAsia="Calibri" w:hAnsi="Calibri" w:cs="Calibri"/>
          <w:b/>
          <w:bCs/>
          <w:sz w:val="24"/>
          <w:szCs w:val="24"/>
        </w:rPr>
        <w:t>Referencia bibliográfica</w:t>
      </w:r>
    </w:p>
    <w:p w14:paraId="00000016" w14:textId="77777777" w:rsidR="00916F6F" w:rsidRDefault="00000000">
      <w:pPr>
        <w:widowControl w:val="0"/>
        <w:spacing w:before="240" w:after="240" w:line="240" w:lineRule="auto"/>
        <w:rPr>
          <w:rFonts w:ascii="Calibri" w:eastAsia="Calibri" w:hAnsi="Calibri" w:cs="Calibri"/>
          <w:sz w:val="24"/>
          <w:szCs w:val="24"/>
        </w:rPr>
      </w:pPr>
      <w:r>
        <w:rPr>
          <w:rFonts w:ascii="Calibri" w:eastAsia="Calibri" w:hAnsi="Calibri" w:cs="Calibri"/>
          <w:sz w:val="24"/>
          <w:szCs w:val="24"/>
        </w:rPr>
        <w:t>Bermúdez, A., M. A. Oliveira-Miranda, y D. Velázquez. 2005. La investigación etnobotánica sobre plantas medicinales: Una revisión de sus objetivos y enfoques actuales. Interciencia 30(8):453-459. https://www.redalyc.org/pdf/339/33910703.pdf</w:t>
      </w:r>
    </w:p>
    <w:p w14:paraId="00000017" w14:textId="77777777" w:rsidR="00916F6F" w:rsidRDefault="00000000">
      <w:pPr>
        <w:widowControl w:val="0"/>
        <w:spacing w:before="240" w:after="240" w:line="240" w:lineRule="auto"/>
        <w:rPr>
          <w:rFonts w:ascii="Calibri" w:eastAsia="Calibri" w:hAnsi="Calibri" w:cs="Calibri"/>
          <w:sz w:val="24"/>
          <w:szCs w:val="24"/>
        </w:rPr>
      </w:pPr>
      <w:r>
        <w:rPr>
          <w:rFonts w:ascii="Calibri" w:eastAsia="Calibri" w:hAnsi="Calibri" w:cs="Calibri"/>
          <w:sz w:val="24"/>
          <w:szCs w:val="24"/>
        </w:rPr>
        <w:t xml:space="preserve">Ford, R. 1978. </w:t>
      </w:r>
      <w:proofErr w:type="spellStart"/>
      <w:r>
        <w:rPr>
          <w:rFonts w:ascii="Calibri" w:eastAsia="Calibri" w:hAnsi="Calibri" w:cs="Calibri"/>
          <w:sz w:val="24"/>
          <w:szCs w:val="24"/>
        </w:rPr>
        <w:t>Introduction</w:t>
      </w:r>
      <w:proofErr w:type="spellEnd"/>
      <w:r>
        <w:rPr>
          <w:rFonts w:ascii="Calibri" w:eastAsia="Calibri" w:hAnsi="Calibri" w:cs="Calibri"/>
          <w:sz w:val="24"/>
          <w:szCs w:val="24"/>
        </w:rPr>
        <w:t xml:space="preserve">. En: R. Ford (ed.). The </w:t>
      </w:r>
      <w:proofErr w:type="spellStart"/>
      <w:r>
        <w:rPr>
          <w:rFonts w:ascii="Calibri" w:eastAsia="Calibri" w:hAnsi="Calibri" w:cs="Calibri"/>
          <w:sz w:val="24"/>
          <w:szCs w:val="24"/>
        </w:rPr>
        <w:t>nature</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the</w:t>
      </w:r>
      <w:proofErr w:type="spellEnd"/>
      <w:r>
        <w:rPr>
          <w:rFonts w:ascii="Calibri" w:eastAsia="Calibri" w:hAnsi="Calibri" w:cs="Calibri"/>
          <w:sz w:val="24"/>
          <w:szCs w:val="24"/>
        </w:rPr>
        <w:t xml:space="preserve"> status </w:t>
      </w:r>
      <w:proofErr w:type="spellStart"/>
      <w:r>
        <w:rPr>
          <w:rFonts w:ascii="Calibri" w:eastAsia="Calibri" w:hAnsi="Calibri" w:cs="Calibri"/>
          <w:sz w:val="24"/>
          <w:szCs w:val="24"/>
        </w:rPr>
        <w:t>of</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ethnobotany</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Anthropological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Papers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Nº</w:t>
      </w:r>
      <w:proofErr w:type="spellEnd"/>
      <w:r>
        <w:rPr>
          <w:rFonts w:ascii="Calibri" w:eastAsia="Calibri" w:hAnsi="Calibri" w:cs="Calibri"/>
          <w:sz w:val="24"/>
          <w:szCs w:val="24"/>
        </w:rPr>
        <w:t xml:space="preserve"> 67. University </w:t>
      </w:r>
      <w:proofErr w:type="spellStart"/>
      <w:r>
        <w:rPr>
          <w:rFonts w:ascii="Calibri" w:eastAsia="Calibri" w:hAnsi="Calibri" w:cs="Calibri"/>
          <w:sz w:val="24"/>
          <w:szCs w:val="24"/>
        </w:rPr>
        <w:t>of</w:t>
      </w:r>
      <w:proofErr w:type="spellEnd"/>
      <w:r>
        <w:rPr>
          <w:rFonts w:ascii="Calibri" w:eastAsia="Calibri" w:hAnsi="Calibri" w:cs="Calibri"/>
          <w:sz w:val="24"/>
          <w:szCs w:val="24"/>
        </w:rPr>
        <w:t xml:space="preserve"> Michigan. Ann Arbor, MI, EEUU. Pp. 29-32. https://muse.jhu.edu/book/79241</w:t>
      </w:r>
    </w:p>
    <w:p w14:paraId="00000018" w14:textId="77777777" w:rsidR="00916F6F" w:rsidRDefault="00000000">
      <w:pPr>
        <w:widowControl w:val="0"/>
        <w:spacing w:before="240" w:after="240" w:line="240" w:lineRule="auto"/>
        <w:rPr>
          <w:rFonts w:ascii="Calibri" w:eastAsia="Calibri" w:hAnsi="Calibri" w:cs="Calibri"/>
          <w:sz w:val="24"/>
          <w:szCs w:val="24"/>
        </w:rPr>
      </w:pPr>
      <w:r>
        <w:rPr>
          <w:rFonts w:ascii="Calibri" w:eastAsia="Calibri" w:hAnsi="Calibri" w:cs="Calibri"/>
          <w:sz w:val="24"/>
          <w:szCs w:val="24"/>
        </w:rPr>
        <w:t xml:space="preserve">Giménez, L. A., N. D. Vignale, y A. A. </w:t>
      </w:r>
      <w:proofErr w:type="spellStart"/>
      <w:r>
        <w:rPr>
          <w:rFonts w:ascii="Calibri" w:eastAsia="Calibri" w:hAnsi="Calibri" w:cs="Calibri"/>
          <w:sz w:val="24"/>
          <w:szCs w:val="24"/>
        </w:rPr>
        <w:t>Gurni</w:t>
      </w:r>
      <w:proofErr w:type="spellEnd"/>
      <w:r>
        <w:rPr>
          <w:rFonts w:ascii="Calibri" w:eastAsia="Calibri" w:hAnsi="Calibri" w:cs="Calibri"/>
          <w:sz w:val="24"/>
          <w:szCs w:val="24"/>
        </w:rPr>
        <w:t xml:space="preserve">. 2014. Calidad botánica de seis plantas andinas, </w:t>
      </w:r>
      <w:proofErr w:type="spellStart"/>
      <w:r>
        <w:rPr>
          <w:rFonts w:ascii="Calibri" w:eastAsia="Calibri" w:hAnsi="Calibri" w:cs="Calibri"/>
          <w:sz w:val="24"/>
          <w:szCs w:val="24"/>
        </w:rPr>
        <w:t>condimenticias</w:t>
      </w:r>
      <w:proofErr w:type="spellEnd"/>
      <w:r>
        <w:rPr>
          <w:rFonts w:ascii="Calibri" w:eastAsia="Calibri" w:hAnsi="Calibri" w:cs="Calibri"/>
          <w:sz w:val="24"/>
          <w:szCs w:val="24"/>
        </w:rPr>
        <w:t xml:space="preserve"> y medicinales, comercializadas en la ciudad de San Salvador de Jujuy, Argentina. Boletín Latinoamericano y del Caribe de Plantas Medicinales y Aromáticas 13(5):454-463. https://www.dominguezia.org/volumen/articulos/35202.pdf</w:t>
      </w:r>
    </w:p>
    <w:p w14:paraId="00000019" w14:textId="77777777" w:rsidR="00916F6F" w:rsidRDefault="00000000">
      <w:pPr>
        <w:widowControl w:val="0"/>
        <w:spacing w:before="240" w:after="240" w:line="240" w:lineRule="auto"/>
        <w:rPr>
          <w:rFonts w:ascii="Calibri" w:eastAsia="Calibri" w:hAnsi="Calibri" w:cs="Calibri"/>
          <w:sz w:val="24"/>
          <w:szCs w:val="24"/>
        </w:rPr>
      </w:pPr>
      <w:r>
        <w:rPr>
          <w:rFonts w:ascii="Calibri" w:eastAsia="Calibri" w:hAnsi="Calibri" w:cs="Calibri"/>
          <w:sz w:val="24"/>
          <w:szCs w:val="24"/>
        </w:rPr>
        <w:t>Hurrell, J. A., M. L. Pochettino, J. P. Puentes, y P. M. Arenas. 2013. Del marco tradicional al escenario urbano: Plantas ancestrales devenidas suplementos dietéticos en la conurbación Buenos Aires-La Plata, Argentina. Boletín Latinoamericano y del Caribe de Plantas Medicinales y Aromáticas 12(5):499–515. https://ri.conicet.gov.ar/handle/11336/23225</w:t>
      </w:r>
    </w:p>
    <w:p w14:paraId="0000001A" w14:textId="77777777" w:rsidR="00916F6F" w:rsidRDefault="00000000">
      <w:pPr>
        <w:widowControl w:val="0"/>
        <w:spacing w:before="240" w:after="240" w:line="240" w:lineRule="auto"/>
        <w:rPr>
          <w:rFonts w:ascii="Calibri" w:eastAsia="Calibri" w:hAnsi="Calibri" w:cs="Calibri"/>
          <w:sz w:val="24"/>
          <w:szCs w:val="24"/>
        </w:rPr>
      </w:pPr>
      <w:r>
        <w:rPr>
          <w:rFonts w:ascii="Calibri" w:eastAsia="Calibri" w:hAnsi="Calibri" w:cs="Calibri"/>
          <w:sz w:val="24"/>
          <w:szCs w:val="24"/>
        </w:rPr>
        <w:t xml:space="preserve">Tortoni, G. L., B. Arias Toledo, y N. D. Vignale. 2021. La flora medicinal andina en las preparaciones tradicionales de la comunidad de </w:t>
      </w:r>
      <w:proofErr w:type="spellStart"/>
      <w:r>
        <w:rPr>
          <w:rFonts w:ascii="Calibri" w:eastAsia="Calibri" w:hAnsi="Calibri" w:cs="Calibri"/>
          <w:sz w:val="24"/>
          <w:szCs w:val="24"/>
        </w:rPr>
        <w:t>Ocumazo</w:t>
      </w:r>
      <w:proofErr w:type="spellEnd"/>
      <w:r>
        <w:rPr>
          <w:rFonts w:ascii="Calibri" w:eastAsia="Calibri" w:hAnsi="Calibri" w:cs="Calibri"/>
          <w:sz w:val="24"/>
          <w:szCs w:val="24"/>
        </w:rPr>
        <w:t xml:space="preserve"> (Pueblo Omaguaca), Jujuy, Argentina. Boletín de la Sociedad Argentina de Botánica 56(3):403-417. https://ri.conicet.gov.ar/handle/11336/157867</w:t>
      </w:r>
    </w:p>
    <w:p w14:paraId="0000001B" w14:textId="77777777" w:rsidR="00916F6F" w:rsidRDefault="00000000">
      <w:pPr>
        <w:widowControl w:val="0"/>
        <w:spacing w:before="240" w:after="240" w:line="240" w:lineRule="auto"/>
        <w:rPr>
          <w:rFonts w:ascii="Calibri" w:eastAsia="Calibri" w:hAnsi="Calibri" w:cs="Calibri"/>
          <w:sz w:val="24"/>
          <w:szCs w:val="24"/>
        </w:rPr>
      </w:pPr>
      <w:r>
        <w:rPr>
          <w:rFonts w:ascii="Calibri" w:eastAsia="Calibri" w:hAnsi="Calibri" w:cs="Calibri"/>
          <w:sz w:val="24"/>
          <w:szCs w:val="24"/>
        </w:rPr>
        <w:t>Vignale, N. D., y M. L. Pochettino (eds.). 2011. Avances sobre plantas medicinales andinas. Secretaría de Ciencia y Técnica y Estudios Regionales (SECTER), Universidad Nacional de Jujuy. San Salvador de Jujuy, Argentina. Pp. 230. https://es.scribd.com/document/333212097/Avances-Sobre-Plantas-Medicinales-Andinas</w:t>
      </w:r>
    </w:p>
    <w:sectPr w:rsidR="00916F6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B4669FE-1E10-48F4-9DF5-A6834544DD54}"/>
    <w:embedBold r:id="rId2" w:fontKey="{C522AC85-A9F1-41FC-BFDD-190413C69610}"/>
    <w:embedItalic r:id="rId3" w:fontKey="{12305CA5-9D5F-46B1-BB20-11AAA8707F21}"/>
    <w:embedBoldItalic r:id="rId4" w:fontKey="{904A5974-DEDF-4799-BEFF-06885EB9AD9B}"/>
  </w:font>
  <w:font w:name="Cambria">
    <w:panose1 w:val="02040503050406030204"/>
    <w:charset w:val="00"/>
    <w:family w:val="roman"/>
    <w:pitch w:val="variable"/>
    <w:sig w:usb0="E00006FF" w:usb1="420024FF" w:usb2="02000000" w:usb3="00000000" w:csb0="0000019F" w:csb1="00000000"/>
    <w:embedRegular r:id="rId5" w:fontKey="{FA7DFA82-AB95-4883-B1E8-E1D89A5A0B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F27886"/>
    <w:multiLevelType w:val="multilevel"/>
    <w:tmpl w:val="DFC64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93365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F6F"/>
    <w:rsid w:val="002D6972"/>
    <w:rsid w:val="00331483"/>
    <w:rsid w:val="00916F6F"/>
    <w:rsid w:val="00B423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DF71CA3-8B43-48AA-915E-FF68A5B50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1347</Words>
  <Characters>7409</Characters>
  <Application>Microsoft Office Word</Application>
  <DocSecurity>0</DocSecurity>
  <Lines>61</Lines>
  <Paragraphs>17</Paragraphs>
  <ScaleCrop>false</ScaleCrop>
  <Company/>
  <LinksUpToDate>false</LinksUpToDate>
  <CharactersWithSpaces>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benjamin gomez</cp:lastModifiedBy>
  <cp:revision>3</cp:revision>
  <dcterms:created xsi:type="dcterms:W3CDTF">2026-06-22T03:42:00Z</dcterms:created>
  <dcterms:modified xsi:type="dcterms:W3CDTF">2026-06-22T03:43:00Z</dcterms:modified>
</cp:coreProperties>
</file>