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Regeneración del sotobosque nativo bajo la expansión de </w:t>
      </w:r>
      <w:r w:rsidDel="00000000" w:rsidR="00000000" w:rsidRPr="00000000">
        <w:rPr>
          <w:rFonts w:ascii="Calibri" w:cs="Calibri" w:eastAsia="Calibri" w:hAnsi="Calibri"/>
          <w:b w:val="1"/>
          <w:bCs w:val="1"/>
          <w:i w:val="1"/>
          <w:iCs w:val="1"/>
          <w:sz w:val="28"/>
          <w:szCs w:val="28"/>
          <w:rtl w:val="0"/>
        </w:rPr>
        <w:t xml:space="preserve">Ligustrum lucidum</w:t>
      </w:r>
      <w:r w:rsidDel="00000000" w:rsidR="00000000" w:rsidRPr="00000000">
        <w:rPr>
          <w:rFonts w:ascii="Calibri" w:cs="Calibri" w:eastAsia="Calibri" w:hAnsi="Calibri"/>
          <w:b w:val="1"/>
          <w:bCs w:val="1"/>
          <w:sz w:val="28"/>
          <w:szCs w:val="28"/>
          <w:rtl w:val="0"/>
        </w:rPr>
        <w:t xml:space="preserve"> en las Yungas</w:t>
      </w:r>
    </w:p>
    <w:p w:rsidR="00000000" w:rsidDel="00000000" w:rsidP="00000000" w:rsidRDefault="00000000" w:rsidRPr="00000000" w14:paraId="00000002">
      <w:pPr>
        <w:spacing w:after="160" w:lineRule="auto"/>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rtl w:val="0"/>
        </w:rPr>
        <w:t xml:space="preserve">Aramayo, A., Baldo, S., Díaz, C., Muñoz, P., Ritú, I., Ritzer, I.</w:t>
      </w:r>
    </w:p>
    <w:p w:rsidR="00000000" w:rsidDel="00000000" w:rsidP="00000000" w:rsidRDefault="00000000" w:rsidRPr="00000000" w14:paraId="00000003">
      <w:pPr>
        <w:jc w:val="center"/>
        <w:rPr>
          <w:rFonts w:ascii="Calibri" w:cs="Calibri" w:eastAsia="Calibri" w:hAnsi="Calibri"/>
          <w:b w:val="1"/>
          <w:bCs w:val="1"/>
        </w:rPr>
      </w:pPr>
      <w:r w:rsidDel="00000000" w:rsidR="00000000" w:rsidRPr="00000000">
        <w:rPr>
          <w:rFonts w:ascii="Calibri" w:cs="Calibri" w:eastAsia="Calibri" w:hAnsi="Calibri"/>
          <w:rtl w:val="0"/>
        </w:rPr>
        <w:t xml:space="preserve">Facultad de Ciencias Agrarias, Universidad Nacional de Jujuy (UNJu). San Salvador de Jujuy, Jujuy, Argentina.</w:t>
      </w:r>
      <w:r w:rsidDel="00000000" w:rsidR="00000000" w:rsidRPr="00000000">
        <w:rPr>
          <w:rtl w:val="0"/>
        </w:rPr>
      </w:r>
    </w:p>
    <w:p w:rsidR="00000000" w:rsidDel="00000000" w:rsidP="00000000" w:rsidRDefault="00000000" w:rsidRPr="00000000" w14:paraId="00000004">
      <w:pPr>
        <w:spacing w:after="1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MARCO TEÓRICO</w:t>
      </w:r>
    </w:p>
    <w:p w:rsidR="00000000" w:rsidDel="00000000" w:rsidP="00000000" w:rsidRDefault="00000000" w:rsidRPr="00000000" w14:paraId="00000005">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invasiones biológicas constituyen una de las principales causas de pérdida de biodiversidad a escala global, ya que pueden alterar la estructura y el funcionamiento de los ecosistemas naturales (Vitousek et al.,1997). Las especies exóticas invasoras (Convenio sobre la Diversidad Biológica, 1992), tienen la capacidad de establecerse, expandirse y competir con las especies nativas por recursos esenciales para su supervivencia. En los bosques montanos de las Yungas argentinas, la expansión de especies invasoras representa una problemática ambiental de creciente importancia debido a los cambios que generan sobre la composición y dinámica de la vegetación (Aragón y Grom,2003; Fernandez et al., 2020). Comprender estos procesos resulta fundamental para la conservación de los ecosistemas nativos y de su biodiversidad.</w:t>
      </w:r>
    </w:p>
    <w:p w:rsidR="00000000" w:rsidDel="00000000" w:rsidP="00000000" w:rsidRDefault="00000000" w:rsidRPr="00000000" w14:paraId="00000006">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Entre las especies invasoras presentes en las Yungas del noroeste argentino,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se destaca por su elevada capacidad de dispersión, altas tasas de germinación, rápido crecimiento y tolerancia a una amplia variedad de condiciones ambientales. Estas características favorecen su establecimiento y expansión en selvas y bosques, donde pueden alcanzar gran abundancia formando monocultivos que modifican significativamente la estructura de la vegetación natural (Fernández et al., 2020; Aragón &amp; Groom, 2003). Varios estudios señalan que este proceso reduce la heterogeneidad del bosque y limita la presencia de especies nativas del sotobosque (Aragón &amp; Groom, 2003; Fernández et al., 2020). La regeneración del sotobosque representa un proceso ecológico clave para la conservación y renovación natural del bosque, ya que garantiza el reemplazo de individuos y el mantenimiento de la diversidad vegetal. Evaluar la relación entre la expansión de esta especie invasora y la regeneración de las nativas permite generar conocimientos relevantes para la comprensión de los procesos de invasión biológica y para el diseño de estrategias para su manejo.</w:t>
      </w:r>
    </w:p>
    <w:p w:rsidR="00000000" w:rsidDel="00000000" w:rsidP="00000000" w:rsidRDefault="00000000" w:rsidRPr="00000000" w14:paraId="00000007">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invasión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puede alterar distintos factores ambientales. La formación de un dosel denso disminuye la disponibilidad de luz que alcanza el sotobosque, afectando los procesos de germinación, establecimiento y crecimiento de especies nativas (Fernández et al., 2020). Los bosques invadidos por esta especie exótica invasora pueden interceptar más del 95% de la radiación solar durante todo el año, suprimiendo el desarrollo del sotobosque y produciendo una densa capa de hojarasca (Paronetto et al., 2025). Asimismo, la competencia por recursos edáficos, como los nutrientes y especialmente el agua, por la modificación de los flujos de agua líquida y gaseosa, pueden reducir el éxito de regeneración de la vegetación nativa (Nasca et al., 2014; Abarca et al., 2018; Whitworth-Hulse et al., 2023).</w:t>
      </w:r>
    </w:p>
    <w:p w:rsidR="00000000" w:rsidDel="00000000" w:rsidP="00000000" w:rsidRDefault="00000000" w:rsidRPr="00000000" w14:paraId="00000008">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bosques montanos de las Yungas constituyen un sistema de interés para estudiar esta problemática debido a su elevada diversidad biológica y a la creciente expansión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registrada en distintos sectores de la región (Aragón &amp; Groom, 2003; Fernández et al., 2020).  Por ello, resulta importante profundizar el conocimiento sobre los cambios ambientales que influyen conjuntamente en la regeneración del sotobosque nativo en los bosques montanos de las Yungas.</w:t>
      </w:r>
    </w:p>
    <w:p w:rsidR="00000000" w:rsidDel="00000000" w:rsidP="00000000" w:rsidRDefault="00000000" w:rsidRPr="00000000" w14:paraId="00000009">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todo lo expuesto, el objetivo de este es determinar la influencia de la cobertura de </w:t>
      </w:r>
      <w:r w:rsidDel="00000000" w:rsidR="00000000" w:rsidRPr="00000000">
        <w:rPr>
          <w:rFonts w:ascii="Calibri" w:cs="Calibri" w:eastAsia="Calibri" w:hAnsi="Calibri"/>
          <w:i w:val="1"/>
          <w:iCs w:val="1"/>
          <w:sz w:val="24"/>
          <w:szCs w:val="24"/>
          <w:rtl w:val="0"/>
        </w:rPr>
        <w:t xml:space="preserve">Ligustrum lucidum </w:t>
      </w:r>
      <w:r w:rsidDel="00000000" w:rsidR="00000000" w:rsidRPr="00000000">
        <w:rPr>
          <w:rFonts w:ascii="Calibri" w:cs="Calibri" w:eastAsia="Calibri" w:hAnsi="Calibri"/>
          <w:sz w:val="24"/>
          <w:szCs w:val="24"/>
          <w:rtl w:val="0"/>
        </w:rPr>
        <w:t xml:space="preserve">sobre la regeneración de especies nativas del sotobosque en los bosques montanos de las Yungas jujeñas. Asimismo, se trabajará bajo la hipótesis de que a medida que aumenta la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en los bosques montanos de las Yungas jujeñas, disminuye la regeneración de especies nativas del sotobosque.</w:t>
      </w:r>
    </w:p>
    <w:p w:rsidR="00000000" w:rsidDel="00000000" w:rsidP="00000000" w:rsidRDefault="00000000" w:rsidRPr="00000000" w14:paraId="0000000A">
      <w:pPr>
        <w:spacing w:after="16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OBJETIVO: </w:t>
      </w:r>
      <w:r w:rsidDel="00000000" w:rsidR="00000000" w:rsidRPr="00000000">
        <w:rPr>
          <w:rFonts w:ascii="Calibri" w:cs="Calibri" w:eastAsia="Calibri" w:hAnsi="Calibri"/>
          <w:sz w:val="24"/>
          <w:szCs w:val="24"/>
          <w:rtl w:val="0"/>
        </w:rPr>
        <w:t xml:space="preserve">Determinar la cobertura de la expansión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sobre la regeneración de las especies nativas del sotobosque en los bosques montanos de las Yungas jujeñas.</w:t>
      </w:r>
    </w:p>
    <w:p w:rsidR="00000000" w:rsidDel="00000000" w:rsidP="00000000" w:rsidRDefault="00000000" w:rsidRPr="00000000" w14:paraId="0000000B">
      <w:pPr>
        <w:spacing w:after="1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HIPÓTESIS: </w:t>
      </w:r>
      <w:r w:rsidDel="00000000" w:rsidR="00000000" w:rsidRPr="00000000">
        <w:rPr>
          <w:rFonts w:ascii="Calibri" w:cs="Calibri" w:eastAsia="Calibri" w:hAnsi="Calibri"/>
          <w:sz w:val="24"/>
          <w:szCs w:val="24"/>
          <w:rtl w:val="0"/>
        </w:rPr>
        <w:t xml:space="preserve">A medida que aumenta la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en los bosques montanos de las Yungas jujeñas, disminuye la regeneración de especies nativas del sotobosque.</w:t>
      </w:r>
    </w:p>
    <w:p w:rsidR="00000000" w:rsidDel="00000000" w:rsidP="00000000" w:rsidRDefault="00000000" w:rsidRPr="00000000" w14:paraId="0000000C">
      <w:pPr>
        <w:spacing w:after="1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after="160" w:lineRule="auto"/>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MATERIALES Y MÉTODOS </w:t>
        <w:tab/>
      </w:r>
    </w:p>
    <w:p w:rsidR="00000000" w:rsidDel="00000000" w:rsidP="00000000" w:rsidRDefault="00000000" w:rsidRPr="00000000" w14:paraId="0000000E">
      <w:pPr>
        <w:widowControl w:val="0"/>
        <w:spacing w:before="32.72705078125" w:line="240" w:lineRule="auto"/>
        <w:ind w:left="0" w:right="359.3133544921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Área de estudio</w:t>
      </w:r>
    </w:p>
    <w:p w:rsidR="00000000" w:rsidDel="00000000" w:rsidP="00000000" w:rsidRDefault="00000000" w:rsidRPr="00000000" w14:paraId="0000000F">
      <w:pPr>
        <w:widowControl w:val="0"/>
        <w:spacing w:before="32.72705078125" w:line="240" w:lineRule="auto"/>
        <w:ind w:left="0" w:right="359.3133544921875" w:firstLine="0"/>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El área de estudio corresponde a las zonas de sotobosque, presentes en los bosques montanos de  las Yungas jujeñas donde se registra la presencia de </w:t>
      </w:r>
      <w:r w:rsidDel="00000000" w:rsidR="00000000" w:rsidRPr="00000000">
        <w:rPr>
          <w:rFonts w:ascii="Calibri" w:cs="Calibri" w:eastAsia="Calibri" w:hAnsi="Calibri"/>
          <w:i w:val="1"/>
          <w:iCs w:val="1"/>
          <w:sz w:val="24"/>
          <w:szCs w:val="24"/>
          <w:rtl w:val="0"/>
        </w:rPr>
        <w:t xml:space="preserve">Ligustrum lucidum.</w:t>
      </w:r>
    </w:p>
    <w:p w:rsidR="00000000" w:rsidDel="00000000" w:rsidP="00000000" w:rsidRDefault="00000000" w:rsidRPr="00000000" w14:paraId="00000010">
      <w:pPr>
        <w:widowControl w:val="0"/>
        <w:spacing w:before="32.72705078125" w:line="240" w:lineRule="auto"/>
        <w:ind w:left="0" w:right="359.3133544921875"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11">
      <w:pPr>
        <w:widowControl w:val="0"/>
        <w:spacing w:before="32.72705078125" w:line="240" w:lineRule="auto"/>
        <w:ind w:left="0" w:right="359.3133544921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Objeto de estudio, unidad de análisis</w:t>
      </w:r>
    </w:p>
    <w:p w:rsidR="00000000" w:rsidDel="00000000" w:rsidP="00000000" w:rsidRDefault="00000000" w:rsidRPr="00000000" w14:paraId="00000012">
      <w:pPr>
        <w:spacing w:after="16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Nuestro objeto de estudio corresponde a la regeneración de especies nativas del sotobosque en relación con la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dentro de los bosques montanos de las Yungas jujeñas, se trabajará con parcelas como unidad de análisis, que presentan diferentes porcentajes de cobertura de la especie invasora, permitiendo comparar la regeneración vegetal a lo largo de un gradiente de ocupación del </w:t>
      </w:r>
      <w:r w:rsidDel="00000000" w:rsidR="00000000" w:rsidRPr="00000000">
        <w:rPr>
          <w:rFonts w:ascii="Calibri" w:cs="Calibri" w:eastAsia="Calibri" w:hAnsi="Calibri"/>
          <w:i w:val="1"/>
          <w:iCs w:val="1"/>
          <w:sz w:val="24"/>
          <w:szCs w:val="24"/>
          <w:rtl w:val="0"/>
        </w:rPr>
        <w:t xml:space="preserve">L. lucidum</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13">
      <w:pPr>
        <w:spacing w:after="160" w:lineRule="auto"/>
        <w:ind w:left="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Población, muestra, criterios de inclusión, exclusión y eliminación.</w:t>
      </w:r>
    </w:p>
    <w:p w:rsidR="00000000" w:rsidDel="00000000" w:rsidP="00000000" w:rsidRDefault="00000000" w:rsidRPr="00000000" w14:paraId="00000014">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población seleccionada para la presente investigación corresponde a todas las especies nativas del sotobosque presentes en las áreas de los bosques montanos de las Yungas jujeñas donde existe invasión de </w:t>
      </w:r>
      <w:r w:rsidDel="00000000" w:rsidR="00000000" w:rsidRPr="00000000">
        <w:rPr>
          <w:rFonts w:ascii="Calibri" w:cs="Calibri" w:eastAsia="Calibri" w:hAnsi="Calibri"/>
          <w:i w:val="1"/>
          <w:iCs w:val="1"/>
          <w:sz w:val="24"/>
          <w:szCs w:val="24"/>
          <w:rtl w:val="0"/>
        </w:rPr>
        <w:t xml:space="preserve">L. lucidum</w:t>
      </w:r>
      <w:r w:rsidDel="00000000" w:rsidR="00000000" w:rsidRPr="00000000">
        <w:rPr>
          <w:rFonts w:ascii="Calibri" w:cs="Calibri" w:eastAsia="Calibri" w:hAnsi="Calibri"/>
          <w:sz w:val="24"/>
          <w:szCs w:val="24"/>
          <w:rtl w:val="0"/>
        </w:rPr>
        <w:t xml:space="preserve">,  también una parcela de control representativa del bosque montano, con condiciones físicas/ambientales (pendiente, exposición, altitud, latitud, etc.) similares sin presencia de </w:t>
      </w:r>
      <w:r w:rsidDel="00000000" w:rsidR="00000000" w:rsidRPr="00000000">
        <w:rPr>
          <w:rFonts w:ascii="Calibri" w:cs="Calibri" w:eastAsia="Calibri" w:hAnsi="Calibri"/>
          <w:i w:val="1"/>
          <w:iCs w:val="1"/>
          <w:sz w:val="24"/>
          <w:szCs w:val="24"/>
          <w:rtl w:val="0"/>
        </w:rPr>
        <w:t xml:space="preserve">L. lucidum</w:t>
      </w:r>
      <w:r w:rsidDel="00000000" w:rsidR="00000000" w:rsidRPr="00000000">
        <w:rPr>
          <w:rFonts w:ascii="Calibri" w:cs="Calibri" w:eastAsia="Calibri" w:hAnsi="Calibri"/>
          <w:sz w:val="24"/>
          <w:szCs w:val="24"/>
          <w:rtl w:val="0"/>
        </w:rPr>
        <w:t xml:space="preserve">. La muestra (no probabilística) correspondiente a la misma, consiste en todas las especies nativas vegetales del sotobosque cuya regeneración en presencia de </w:t>
      </w:r>
      <w:r w:rsidDel="00000000" w:rsidR="00000000" w:rsidRPr="00000000">
        <w:rPr>
          <w:rFonts w:ascii="Calibri" w:cs="Calibri" w:eastAsia="Calibri" w:hAnsi="Calibri"/>
          <w:i w:val="1"/>
          <w:iCs w:val="1"/>
          <w:sz w:val="24"/>
          <w:szCs w:val="24"/>
          <w:rtl w:val="0"/>
        </w:rPr>
        <w:t xml:space="preserve">L. lucidum</w:t>
      </w:r>
      <w:r w:rsidDel="00000000" w:rsidR="00000000" w:rsidRPr="00000000">
        <w:rPr>
          <w:rFonts w:ascii="Calibri" w:cs="Calibri" w:eastAsia="Calibri" w:hAnsi="Calibri"/>
          <w:sz w:val="24"/>
          <w:szCs w:val="24"/>
          <w:rtl w:val="0"/>
        </w:rPr>
        <w:t xml:space="preserve"> pueda evaluarse, y su respectivo control.</w:t>
      </w:r>
    </w:p>
    <w:p w:rsidR="00000000" w:rsidDel="00000000" w:rsidP="00000000" w:rsidRDefault="00000000" w:rsidRPr="00000000" w14:paraId="00000015">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criterios de inclusión son: zonas dentro del bosque montano donde se encuentren especies nativas de árboles y sotobosque en etapa de regeneración (plántulas) e individuos de la especie invasora en estudio. Los de exclusión, son: áreas que no formen parte del bosque montano de las yungas jujeñas. El de eliminación: zonas en el límite de los bosques montanos de las Yungas jujeñas, zonas alteradas por actividades antrópicas recientes en la parcela (desmontes, incendios, o pastoreo, entre otros), individuos vegetales que presenten algún tipo de patología desconocida.</w:t>
      </w:r>
    </w:p>
    <w:p w:rsidR="00000000" w:rsidDel="00000000" w:rsidP="00000000" w:rsidRDefault="00000000" w:rsidRPr="00000000" w14:paraId="00000016">
      <w:pPr>
        <w:widowControl w:val="0"/>
        <w:spacing w:before="32.72705078125" w:line="240" w:lineRule="auto"/>
        <w:ind w:left="0" w:right="359.3133544921875"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Variables y su operacionalización </w:t>
      </w:r>
      <w:r w:rsidDel="00000000" w:rsidR="00000000" w:rsidRPr="00000000">
        <w:rPr>
          <w:rtl w:val="0"/>
        </w:rPr>
      </w:r>
    </w:p>
    <w:p w:rsidR="00000000" w:rsidDel="00000000" w:rsidP="00000000" w:rsidRDefault="00000000" w:rsidRPr="00000000" w14:paraId="00000017">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primera variable es la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que se entiende como la proporción del área ocupada por individuos de esta especie dentro de una parcela determinada. La variable será medida como el porcentaje (%) de cobertura de</w:t>
      </w:r>
      <w:r w:rsidDel="00000000" w:rsidR="00000000" w:rsidRPr="00000000">
        <w:rPr>
          <w:rFonts w:ascii="Calibri" w:cs="Calibri" w:eastAsia="Calibri" w:hAnsi="Calibri"/>
          <w:i w:val="1"/>
          <w:iCs w:val="1"/>
          <w:sz w:val="24"/>
          <w:szCs w:val="24"/>
          <w:rtl w:val="0"/>
        </w:rPr>
        <w:t xml:space="preserve"> L. lucidum</w:t>
      </w:r>
      <w:r w:rsidDel="00000000" w:rsidR="00000000" w:rsidRPr="00000000">
        <w:rPr>
          <w:rFonts w:ascii="Calibri" w:cs="Calibri" w:eastAsia="Calibri" w:hAnsi="Calibri"/>
          <w:sz w:val="24"/>
          <w:szCs w:val="24"/>
          <w:rtl w:val="0"/>
        </w:rPr>
        <w:t xml:space="preserve"> presente en cada parcela de muestreo, las cuales tendrán un % de un 25% (bajo), 50% (medio) y 75% (alto), (dato cuantitativo continuo, de razón).La segunda variable es la Regeneración de especies nativas del sotobosque, que se entiende como el establecimiento de nuevos individuos de especies nativas mediante procesos de germinación, reclutamiento y crecimiento inicial. La variable será medida mediante el recuento de plántulas y renovales de especies nativas registrados en cada parcela de muestreo. (dato cuantitativo discreto, de razón).</w:t>
      </w:r>
    </w:p>
    <w:p w:rsidR="00000000" w:rsidDel="00000000" w:rsidP="00000000" w:rsidRDefault="00000000" w:rsidRPr="00000000" w14:paraId="00000018">
      <w:pPr>
        <w:spacing w:after="16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i w:val="1"/>
          <w:iCs w:val="1"/>
          <w:sz w:val="24"/>
          <w:szCs w:val="24"/>
          <w:rtl w:val="0"/>
        </w:rPr>
        <w:t xml:space="preserve">Tipo de diseño</w:t>
      </w:r>
    </w:p>
    <w:p w:rsidR="00000000" w:rsidDel="00000000" w:rsidP="00000000" w:rsidRDefault="00000000" w:rsidRPr="00000000" w14:paraId="00000019">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investigación presenta un diseño no experimental, observacional y transversal, ya que las variables serán registradas en condiciones naturales sin manipulación por parte de los investigadores y en un único momento temporal. El alcance será correlacional, dado que se busca determinar la relación entre la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y el número de plántulas de especies nativas del sotobosque. </w:t>
      </w:r>
    </w:p>
    <w:p w:rsidR="00000000" w:rsidDel="00000000" w:rsidP="00000000" w:rsidRDefault="00000000" w:rsidRPr="00000000" w14:paraId="0000001A">
      <w:pPr>
        <w:spacing w:after="16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Técnicas e instrumentos de recolección de datos</w:t>
      </w:r>
    </w:p>
    <w:p w:rsidR="00000000" w:rsidDel="00000000" w:rsidP="00000000" w:rsidRDefault="00000000" w:rsidRPr="00000000" w14:paraId="0000001B">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recolección de datos se realizará en parcelas ubicadas dentro de los bosques montanos de las Yungas jujeñas. En una primera etapa, mediante herramientas de teledetección a través del índice de vegetación normalizada NDVI (por sus siglas en inglés)  e imágenes satelitales, se identificarán sectores con diferentes niveles de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Posteriormente, estos sitios serán verificados en campo para confirmar la presencia de la especie invasora y evaluar el cumplimiento de los criterios de inclusión establecidos para el estudio.</w:t>
      </w:r>
    </w:p>
    <w:p w:rsidR="00000000" w:rsidDel="00000000" w:rsidP="00000000" w:rsidRDefault="00000000" w:rsidRPr="00000000" w14:paraId="0000001C">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procurará seleccionar parcelas que presenten condiciones ambientales similares (altitud, pendiente, exposición, entre otras), diferenciándose principalmente por el grado de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que se estimará mediante el método de líneas de Canfield (Canfield, 1941). Para ello, se considerarán parcelas con alta cobertura, cobertura intermedia, baja cobertura y parcelas sin presencia de la especie invasora (75-50-25-0% respectivamente), las cuales funcionarán como áreas de control. Estas últimas corresponden a sectores conservados del bosque nativo que mantengan la estructura característica de las Yungas, incluyendo estrato arbóreo y sotobosque nativo.  </w:t>
      </w:r>
    </w:p>
    <w:p w:rsidR="00000000" w:rsidDel="00000000" w:rsidP="00000000" w:rsidRDefault="00000000" w:rsidRPr="00000000" w14:paraId="0000001D">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 el objetivo de representar adecuadamente cada categoría de invasión, se procurará seleccionar entre tres y cinco parcelas por categoría de cobertura. Se sugiere el establecimiento de parcelas de una hectárea de superficie, preferentemente de forma cuadrada (100 x 100 m) tamaño frecuentemente utilizado en estudios de vegetación forestal, ya que permite relevar adecuadamente la cobertura arbórea y las características del sotobosque manteniendo una escala de trabajo operativamente viable, (Osinaga et al. 2014). Una vez definidas las parcelas de estudio, se registrará en cada una el porcentaje de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y se evaluará la regeneración del sotobosque mediante el relevamiento y cuantificación de plántulas y renovales de especies nativas presentes con conteo total, o es común el uso de subparcelas (probabilísticas).</w:t>
      </w:r>
    </w:p>
    <w:p w:rsidR="00000000" w:rsidDel="00000000" w:rsidP="00000000" w:rsidRDefault="00000000" w:rsidRPr="00000000" w14:paraId="0000001E">
      <w:pPr>
        <w:spacing w:after="16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Como instrumento de recolección de datos se utilizarán programas de teledetección e imágenes satelitales preliminares, planillas de registro de campo diseñadas para relevar las variables de estudio. Como materiales auxiliares se emplearán dispositivos GPS para la georreferenciación de las parcelas, cinta métrica para la delimitación de las áreas de muestreo, estacas para marcar la parcela y guías de identificación botánica para el reconocimiento de las especies registradas.</w:t>
      </w:r>
      <w:r w:rsidDel="00000000" w:rsidR="00000000" w:rsidRPr="00000000">
        <w:rPr>
          <w:rtl w:val="0"/>
        </w:rPr>
      </w:r>
    </w:p>
    <w:p w:rsidR="00000000" w:rsidDel="00000000" w:rsidP="00000000" w:rsidRDefault="00000000" w:rsidRPr="00000000" w14:paraId="0000001F">
      <w:pPr>
        <w:spacing w:after="160" w:lineRule="auto"/>
        <w:ind w:left="0" w:firstLine="0"/>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Análisis datos</w:t>
      </w:r>
    </w:p>
    <w:p w:rsidR="00000000" w:rsidDel="00000000" w:rsidP="00000000" w:rsidRDefault="00000000" w:rsidRPr="00000000" w14:paraId="00000020">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datos obtenidos serán organizados en una base de datos digital para su posterior procesamiento mediante software estadístico R (R Core team). Asimismo, se elaborarán gráficos descriptivos, tales como histogramas de frecuencias, diagramas de tipo boxplots para comparar el establecimiento de nuevos individuos (plántulas) entre las distintas categorías de cobertura de </w:t>
      </w:r>
      <w:r w:rsidDel="00000000" w:rsidR="00000000" w:rsidRPr="00000000">
        <w:rPr>
          <w:rFonts w:ascii="Calibri" w:cs="Calibri" w:eastAsia="Calibri" w:hAnsi="Calibri"/>
          <w:i w:val="1"/>
          <w:iCs w:val="1"/>
          <w:sz w:val="24"/>
          <w:szCs w:val="24"/>
          <w:rtl w:val="0"/>
        </w:rPr>
        <w:t xml:space="preserve">L. lucidum</w:t>
      </w:r>
      <w:r w:rsidDel="00000000" w:rsidR="00000000" w:rsidRPr="00000000">
        <w:rPr>
          <w:rFonts w:ascii="Calibri" w:cs="Calibri" w:eastAsia="Calibri" w:hAnsi="Calibri"/>
          <w:sz w:val="24"/>
          <w:szCs w:val="24"/>
          <w:rtl w:val="0"/>
        </w:rPr>
        <w:t xml:space="preserve"> y diagramas de dispersión para visualizar la relación entre la cobertura de la especie invasora y el índice calculado.</w:t>
      </w:r>
    </w:p>
    <w:p w:rsidR="00000000" w:rsidDel="00000000" w:rsidP="00000000" w:rsidRDefault="00000000" w:rsidRPr="00000000" w14:paraId="00000021">
      <w:pPr>
        <w:spacing w:after="160" w:lineRule="auto"/>
        <w:rPr>
          <w:rFonts w:ascii="Calibri" w:cs="Calibri" w:eastAsia="Calibri" w:hAnsi="Calibri"/>
          <w:b w:val="1"/>
          <w:bCs w:val="1"/>
        </w:rPr>
      </w:pPr>
      <w:r w:rsidDel="00000000" w:rsidR="00000000" w:rsidRPr="00000000">
        <w:rPr>
          <w:rFonts w:ascii="Calibri" w:cs="Calibri" w:eastAsia="Calibri" w:hAnsi="Calibri"/>
          <w:sz w:val="24"/>
          <w:szCs w:val="24"/>
          <w:rtl w:val="0"/>
        </w:rPr>
        <w:t xml:space="preserve">Posteriormente, se realizará un análisis estadístico inferencial con el objetivo de evaluar la relación entre el porcentaje de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y los índices de regeneración. Este análisis permitirá determinar si un incremento en la cobertura de </w:t>
      </w:r>
      <w:r w:rsidDel="00000000" w:rsidR="00000000" w:rsidRPr="00000000">
        <w:rPr>
          <w:rFonts w:ascii="Calibri" w:cs="Calibri" w:eastAsia="Calibri" w:hAnsi="Calibri"/>
          <w:i w:val="1"/>
          <w:iCs w:val="1"/>
          <w:sz w:val="24"/>
          <w:szCs w:val="24"/>
          <w:rtl w:val="0"/>
        </w:rPr>
        <w:t xml:space="preserve">Ligustrum lucidum</w:t>
      </w:r>
      <w:r w:rsidDel="00000000" w:rsidR="00000000" w:rsidRPr="00000000">
        <w:rPr>
          <w:rFonts w:ascii="Calibri" w:cs="Calibri" w:eastAsia="Calibri" w:hAnsi="Calibri"/>
          <w:sz w:val="24"/>
          <w:szCs w:val="24"/>
          <w:rtl w:val="0"/>
        </w:rPr>
        <w:t xml:space="preserve"> se relaciona con una disminución de la regeneración.</w:t>
      </w:r>
      <w:r w:rsidDel="00000000" w:rsidR="00000000" w:rsidRPr="00000000">
        <w:rPr>
          <w:rtl w:val="0"/>
        </w:rPr>
      </w:r>
    </w:p>
    <w:p w:rsidR="00000000" w:rsidDel="00000000" w:rsidP="00000000" w:rsidRDefault="00000000" w:rsidRPr="00000000" w14:paraId="00000022">
      <w:pPr>
        <w:spacing w:after="1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after="1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spacing w:after="1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spacing w:after="1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spacing w:after="1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spacing w:after="1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BIBLIOGRAFÍA</w:t>
      </w:r>
    </w:p>
    <w:p w:rsidR="00000000" w:rsidDel="00000000" w:rsidP="00000000" w:rsidRDefault="00000000" w:rsidRPr="00000000" w14:paraId="00000028">
      <w:pPr>
        <w:spacing w:after="160" w:lineRule="auto"/>
        <w:rPr>
          <w:rFonts w:ascii="Calibri" w:cs="Calibri" w:eastAsia="Calibri" w:hAnsi="Calibri"/>
        </w:rPr>
      </w:pPr>
      <w:r w:rsidDel="00000000" w:rsidR="00000000" w:rsidRPr="00000000">
        <w:rPr>
          <w:rFonts w:ascii="Calibri" w:cs="Calibri" w:eastAsia="Calibri" w:hAnsi="Calibri"/>
          <w:rtl w:val="0"/>
        </w:rPr>
        <w:t xml:space="preserve">Abarca, C.L., Merani, V.H., Larrieu, L., Millán, G., Barrera, M.D., Ferreri, N., Velazquez, M.S. (2018). Invasión de Ligustrum Lucidum en bosques de Celtis Ehrenbergiana: impacto en las propiedades del suelo. Recuperado de: </w:t>
      </w:r>
      <w:hyperlink r:id="rId6">
        <w:r w:rsidDel="00000000" w:rsidR="00000000" w:rsidRPr="00000000">
          <w:rPr>
            <w:rFonts w:ascii="Calibri" w:cs="Calibri" w:eastAsia="Calibri" w:hAnsi="Calibri"/>
            <w:color w:val="1155cc"/>
            <w:u w:val="single"/>
            <w:rtl w:val="0"/>
          </w:rPr>
          <w:t xml:space="preserve">https://sedici.unlp.edu.ar/bitstream/handle/10915/166374/Documento_completo.pdf-PDFA.pdf?sequence=1&amp;isAllowed=y</w:t>
        </w:r>
      </w:hyperlink>
      <w:r w:rsidDel="00000000" w:rsidR="00000000" w:rsidRPr="00000000">
        <w:rPr>
          <w:rtl w:val="0"/>
        </w:rPr>
      </w:r>
    </w:p>
    <w:p w:rsidR="00000000" w:rsidDel="00000000" w:rsidP="00000000" w:rsidRDefault="00000000" w:rsidRPr="00000000" w14:paraId="00000029">
      <w:pPr>
        <w:spacing w:after="160" w:lineRule="auto"/>
        <w:rPr>
          <w:rFonts w:ascii="Calibri" w:cs="Calibri" w:eastAsia="Calibri" w:hAnsi="Calibri"/>
        </w:rPr>
      </w:pPr>
      <w:r w:rsidDel="00000000" w:rsidR="00000000" w:rsidRPr="00000000">
        <w:rPr>
          <w:rFonts w:ascii="Calibri" w:cs="Calibri" w:eastAsia="Calibri" w:hAnsi="Calibri"/>
          <w:rtl w:val="0"/>
        </w:rPr>
        <w:t xml:space="preserve">Abarca, M. R., Puntieri, J. G., &amp; Aragón, R. (2018). </w:t>
      </w:r>
      <w:r w:rsidDel="00000000" w:rsidR="00000000" w:rsidRPr="00000000">
        <w:rPr>
          <w:rFonts w:ascii="Calibri" w:cs="Calibri" w:eastAsia="Calibri" w:hAnsi="Calibri"/>
          <w:i w:val="1"/>
          <w:iCs w:val="1"/>
          <w:rtl w:val="0"/>
        </w:rPr>
        <w:t xml:space="preserve">Effects of Ligustrum lucidum invasion on soil nutrients and native plant regeneration in subtropical montane forests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Forest Ecology and Management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430</w:t>
      </w:r>
      <w:r w:rsidDel="00000000" w:rsidR="00000000" w:rsidRPr="00000000">
        <w:rPr>
          <w:rFonts w:ascii="Calibri" w:cs="Calibri" w:eastAsia="Calibri" w:hAnsi="Calibri"/>
          <w:rtl w:val="0"/>
        </w:rPr>
        <w:t xml:space="preserve">, 511–519.</w:t>
      </w:r>
    </w:p>
    <w:p w:rsidR="00000000" w:rsidDel="00000000" w:rsidP="00000000" w:rsidRDefault="00000000" w:rsidRPr="00000000" w14:paraId="0000002A">
      <w:pPr>
        <w:spacing w:after="160" w:lineRule="auto"/>
        <w:rPr>
          <w:rFonts w:ascii="Calibri" w:cs="Calibri" w:eastAsia="Calibri" w:hAnsi="Calibri"/>
        </w:rPr>
      </w:pPr>
      <w:r w:rsidDel="00000000" w:rsidR="00000000" w:rsidRPr="00000000">
        <w:rPr>
          <w:rFonts w:ascii="Calibri" w:cs="Calibri" w:eastAsia="Calibri" w:hAnsi="Calibri"/>
          <w:rtl w:val="0"/>
        </w:rPr>
        <w:t xml:space="preserve">Aragón, R., &amp; Groom, M. (2003). Invasion by </w:t>
      </w:r>
      <w:r w:rsidDel="00000000" w:rsidR="00000000" w:rsidRPr="00000000">
        <w:rPr>
          <w:rFonts w:ascii="Calibri" w:cs="Calibri" w:eastAsia="Calibri" w:hAnsi="Calibri"/>
          <w:i w:val="1"/>
          <w:iCs w:val="1"/>
          <w:rtl w:val="0"/>
        </w:rPr>
        <w:t xml:space="preserve">Ligustrum lucidum</w:t>
      </w:r>
      <w:r w:rsidDel="00000000" w:rsidR="00000000" w:rsidRPr="00000000">
        <w:rPr>
          <w:rFonts w:ascii="Calibri" w:cs="Calibri" w:eastAsia="Calibri" w:hAnsi="Calibri"/>
          <w:rtl w:val="0"/>
        </w:rPr>
        <w:t xml:space="preserve"> (Oleaceae) in NW Argentina: Early stage characteristics in different habitat types. </w:t>
      </w:r>
      <w:r w:rsidDel="00000000" w:rsidR="00000000" w:rsidRPr="00000000">
        <w:rPr>
          <w:rFonts w:ascii="Calibri" w:cs="Calibri" w:eastAsia="Calibri" w:hAnsi="Calibri"/>
          <w:i w:val="1"/>
          <w:iCs w:val="1"/>
          <w:rtl w:val="0"/>
        </w:rPr>
        <w:t xml:space="preserve">Revista de Biología Tropical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51</w:t>
      </w:r>
      <w:r w:rsidDel="00000000" w:rsidR="00000000" w:rsidRPr="00000000">
        <w:rPr>
          <w:rFonts w:ascii="Calibri" w:cs="Calibri" w:eastAsia="Calibri" w:hAnsi="Calibri"/>
          <w:rtl w:val="0"/>
        </w:rPr>
        <w:t xml:space="preserve">(1), 59–70 Recuperado de : https://www.scielo.sa.cr/scielo.php?script=sci_arttext&amp;pid=S0034-77442003000100004</w:t>
      </w:r>
    </w:p>
    <w:p w:rsidR="00000000" w:rsidDel="00000000" w:rsidP="00000000" w:rsidRDefault="00000000" w:rsidRPr="00000000" w14:paraId="0000002B">
      <w:pPr>
        <w:spacing w:after="160" w:lineRule="auto"/>
        <w:rPr>
          <w:rFonts w:ascii="Calibri" w:cs="Calibri" w:eastAsia="Calibri" w:hAnsi="Calibri"/>
        </w:rPr>
      </w:pPr>
      <w:r w:rsidDel="00000000" w:rsidR="00000000" w:rsidRPr="00000000">
        <w:rPr>
          <w:rFonts w:ascii="Calibri" w:cs="Calibri" w:eastAsia="Calibri" w:hAnsi="Calibri"/>
          <w:rtl w:val="0"/>
        </w:rPr>
        <w:t xml:space="preserve">Canfield, R. H. 1941. Application of the line interception method in sampling range vegetation. </w:t>
      </w:r>
      <w:r w:rsidDel="00000000" w:rsidR="00000000" w:rsidRPr="00000000">
        <w:rPr>
          <w:rFonts w:ascii="Calibri" w:cs="Calibri" w:eastAsia="Calibri" w:hAnsi="Calibri"/>
          <w:i w:val="1"/>
          <w:iCs w:val="1"/>
          <w:rtl w:val="0"/>
        </w:rPr>
        <w:t xml:space="preserve">Journal of Forestry</w:t>
      </w:r>
      <w:r w:rsidDel="00000000" w:rsidR="00000000" w:rsidRPr="00000000">
        <w:rPr>
          <w:rFonts w:ascii="Calibri" w:cs="Calibri" w:eastAsia="Calibri" w:hAnsi="Calibri"/>
          <w:rtl w:val="0"/>
        </w:rPr>
        <w:t xml:space="preserve"> 39:388-394. </w:t>
      </w:r>
    </w:p>
    <w:p w:rsidR="00000000" w:rsidDel="00000000" w:rsidP="00000000" w:rsidRDefault="00000000" w:rsidRPr="00000000" w14:paraId="0000002C">
      <w:pPr>
        <w:spacing w:after="160" w:lineRule="auto"/>
        <w:rPr>
          <w:rFonts w:ascii="Calibri" w:cs="Calibri" w:eastAsia="Calibri" w:hAnsi="Calibri"/>
        </w:rPr>
      </w:pPr>
      <w:r w:rsidDel="00000000" w:rsidR="00000000" w:rsidRPr="00000000">
        <w:rPr>
          <w:rFonts w:ascii="Calibri" w:cs="Calibri" w:eastAsia="Calibri" w:hAnsi="Calibri"/>
          <w:rtl w:val="0"/>
        </w:rPr>
        <w:t xml:space="preserve">Convenio sobre la Diversidad Biológica. (1992). Especies exóticas invasoras. Secretaría del Convenio sobre la Diversidad Biológica.</w:t>
      </w:r>
    </w:p>
    <w:p w:rsidR="00000000" w:rsidDel="00000000" w:rsidP="00000000" w:rsidRDefault="00000000" w:rsidRPr="00000000" w14:paraId="0000002D">
      <w:pPr>
        <w:spacing w:after="160" w:lineRule="auto"/>
        <w:rPr>
          <w:rFonts w:ascii="Calibri" w:cs="Calibri" w:eastAsia="Calibri" w:hAnsi="Calibri"/>
        </w:rPr>
      </w:pPr>
      <w:r w:rsidDel="00000000" w:rsidR="00000000" w:rsidRPr="00000000">
        <w:rPr>
          <w:rFonts w:ascii="Calibri" w:cs="Calibri" w:eastAsia="Calibri" w:hAnsi="Calibri"/>
          <w:rtl w:val="0"/>
        </w:rPr>
        <w:t xml:space="preserve">Fernández, R. D., Aragón, R., Whitworth-Hulse, J. I., &amp; Grau, H. R. (2020). </w:t>
      </w:r>
      <w:r w:rsidDel="00000000" w:rsidR="00000000" w:rsidRPr="00000000">
        <w:rPr>
          <w:rFonts w:ascii="Calibri" w:cs="Calibri" w:eastAsia="Calibri" w:hAnsi="Calibri"/>
          <w:i w:val="1"/>
          <w:iCs w:val="1"/>
          <w:rtl w:val="0"/>
        </w:rPr>
        <w:t xml:space="preserve">Drivers of Ligustrum lucidum invasion and its effects on native forest communities in the Argentine Yungas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Biological Invasions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22</w:t>
      </w:r>
      <w:r w:rsidDel="00000000" w:rsidR="00000000" w:rsidRPr="00000000">
        <w:rPr>
          <w:rFonts w:ascii="Calibri" w:cs="Calibri" w:eastAsia="Calibri" w:hAnsi="Calibri"/>
          <w:rtl w:val="0"/>
        </w:rPr>
        <w:t xml:space="preserve">, 1725–1740.</w:t>
      </w:r>
    </w:p>
    <w:p w:rsidR="00000000" w:rsidDel="00000000" w:rsidP="00000000" w:rsidRDefault="00000000" w:rsidRPr="00000000" w14:paraId="0000002E">
      <w:pPr>
        <w:spacing w:after="160" w:lineRule="auto"/>
        <w:rPr>
          <w:rFonts w:ascii="Calibri" w:cs="Calibri" w:eastAsia="Calibri" w:hAnsi="Calibri"/>
        </w:rPr>
      </w:pPr>
      <w:r w:rsidDel="00000000" w:rsidR="00000000" w:rsidRPr="00000000">
        <w:rPr>
          <w:rFonts w:ascii="Calibri" w:cs="Calibri" w:eastAsia="Calibri" w:hAnsi="Calibri"/>
          <w:rtl w:val="0"/>
        </w:rPr>
        <w:t xml:space="preserve">Fernández, R.D., Ceballos, S.J., Aragón, R. et al. (2020). Una revisión global de la invasión de Ligustrum Lucidum (OLEACEAE). Botanical Review, 86, 93-118. Recuperado de: </w:t>
      </w:r>
      <w:hyperlink r:id="rId7">
        <w:r w:rsidDel="00000000" w:rsidR="00000000" w:rsidRPr="00000000">
          <w:rPr>
            <w:rFonts w:ascii="Calibri" w:cs="Calibri" w:eastAsia="Calibri" w:hAnsi="Calibri"/>
            <w:color w:val="1155cc"/>
            <w:u w:val="single"/>
            <w:rtl w:val="0"/>
          </w:rPr>
          <w:t xml:space="preserve">https://doi.org/10.1007/s12229-020-09228-w</w:t>
        </w:r>
      </w:hyperlink>
      <w:r w:rsidDel="00000000" w:rsidR="00000000" w:rsidRPr="00000000">
        <w:rPr>
          <w:rtl w:val="0"/>
        </w:rPr>
      </w:r>
    </w:p>
    <w:p w:rsidR="00000000" w:rsidDel="00000000" w:rsidP="00000000" w:rsidRDefault="00000000" w:rsidRPr="00000000" w14:paraId="0000002F">
      <w:pPr>
        <w:spacing w:after="160" w:lineRule="auto"/>
        <w:rPr>
          <w:rFonts w:ascii="Calibri" w:cs="Calibri" w:eastAsia="Calibri" w:hAnsi="Calibri"/>
        </w:rPr>
      </w:pPr>
      <w:r w:rsidDel="00000000" w:rsidR="00000000" w:rsidRPr="00000000">
        <w:rPr>
          <w:rFonts w:ascii="Calibri" w:cs="Calibri" w:eastAsia="Calibri" w:hAnsi="Calibri"/>
          <w:rtl w:val="0"/>
        </w:rPr>
        <w:t xml:space="preserve">Nasca, J. A., Grau, H. R., &amp; Aragón, R. (2014). </w:t>
      </w:r>
      <w:r w:rsidDel="00000000" w:rsidR="00000000" w:rsidRPr="00000000">
        <w:rPr>
          <w:rFonts w:ascii="Calibri" w:cs="Calibri" w:eastAsia="Calibri" w:hAnsi="Calibri"/>
          <w:i w:val="1"/>
          <w:iCs w:val="1"/>
          <w:rtl w:val="0"/>
        </w:rPr>
        <w:t xml:space="preserve">Changes in water use and forest dynamics associated with Ligustrum lucidum invasion in subtropical montane forests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Forest Ecology and Management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327</w:t>
      </w:r>
      <w:r w:rsidDel="00000000" w:rsidR="00000000" w:rsidRPr="00000000">
        <w:rPr>
          <w:rFonts w:ascii="Calibri" w:cs="Calibri" w:eastAsia="Calibri" w:hAnsi="Calibri"/>
          <w:rtl w:val="0"/>
        </w:rPr>
        <w:t xml:space="preserve">, 30–38.</w:t>
      </w:r>
    </w:p>
    <w:p w:rsidR="00000000" w:rsidDel="00000000" w:rsidP="00000000" w:rsidRDefault="00000000" w:rsidRPr="00000000" w14:paraId="00000030">
      <w:pPr>
        <w:spacing w:after="160" w:lineRule="auto"/>
        <w:rPr>
          <w:rFonts w:ascii="Calibri" w:cs="Calibri" w:eastAsia="Calibri" w:hAnsi="Calibri"/>
        </w:rPr>
      </w:pPr>
      <w:r w:rsidDel="00000000" w:rsidR="00000000" w:rsidRPr="00000000">
        <w:rPr>
          <w:rFonts w:ascii="Calibri" w:cs="Calibri" w:eastAsia="Calibri" w:hAnsi="Calibri"/>
          <w:rtl w:val="0"/>
        </w:rPr>
        <w:t xml:space="preserve">Nasca L.Z., Montti L., Grau R., Paolini L. (2014). Efectos de la invasión del Ligustrum Lucidum, en la dinámica hídrica de las Yungas del noroeste Argentino. Bosque (Valdivia) vol.35. Recuperado de: http://dx.doi.org/10.4067/S0717-92002014000200007 </w:t>
      </w:r>
    </w:p>
    <w:p w:rsidR="00000000" w:rsidDel="00000000" w:rsidP="00000000" w:rsidRDefault="00000000" w:rsidRPr="00000000" w14:paraId="00000031">
      <w:pPr>
        <w:spacing w:after="160" w:lineRule="auto"/>
        <w:rPr>
          <w:rFonts w:ascii="Calibri" w:cs="Calibri" w:eastAsia="Calibri" w:hAnsi="Calibri"/>
        </w:rPr>
      </w:pPr>
      <w:r w:rsidDel="00000000" w:rsidR="00000000" w:rsidRPr="00000000">
        <w:rPr>
          <w:rFonts w:ascii="Calibri" w:cs="Calibri" w:eastAsia="Calibri" w:hAnsi="Calibri"/>
          <w:rtl w:val="0"/>
        </w:rPr>
        <w:t xml:space="preserve">Osinaga, O., S. Báez, F. Cuesta, A. Malizia, J. Carrilla, et al. 2014. Monitoreo de diversidad vegetal y carbono en bosques andinos-Protocolo extendido. Protocolo 2 - Versión 1. CONDESAN / IER-UNT / COSUDE. Quito, Ecuador. ISBN: 978-1-873671-00-9. </w:t>
      </w:r>
    </w:p>
    <w:p w:rsidR="00000000" w:rsidDel="00000000" w:rsidP="00000000" w:rsidRDefault="00000000" w:rsidRPr="00000000" w14:paraId="00000032">
      <w:pPr>
        <w:spacing w:after="160" w:lineRule="auto"/>
        <w:rPr>
          <w:rFonts w:ascii="Calibri" w:cs="Calibri" w:eastAsia="Calibri" w:hAnsi="Calibri"/>
        </w:rPr>
      </w:pPr>
      <w:r w:rsidDel="00000000" w:rsidR="00000000" w:rsidRPr="00000000">
        <w:rPr>
          <w:rFonts w:ascii="Calibri" w:cs="Calibri" w:eastAsia="Calibri" w:hAnsi="Calibri"/>
          <w:rtl w:val="0"/>
        </w:rPr>
        <w:t xml:space="preserve">Paronetto, M., Aragón, R., Whitworth-Hulse, J. I., &amp; Grau, H. R. (2025). </w:t>
      </w:r>
      <w:r w:rsidDel="00000000" w:rsidR="00000000" w:rsidRPr="00000000">
        <w:rPr>
          <w:rFonts w:ascii="Calibri" w:cs="Calibri" w:eastAsia="Calibri" w:hAnsi="Calibri"/>
          <w:i w:val="1"/>
          <w:iCs w:val="1"/>
          <w:rtl w:val="0"/>
        </w:rPr>
        <w:t xml:space="preserve">Impact of Ligustrum lucidum invasion on the structure and functioning of coastal dry forests: A case study from Argentina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Forest Ecology and Management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581</w:t>
      </w:r>
      <w:r w:rsidDel="00000000" w:rsidR="00000000" w:rsidRPr="00000000">
        <w:rPr>
          <w:rFonts w:ascii="Calibri" w:cs="Calibri" w:eastAsia="Calibri" w:hAnsi="Calibri"/>
          <w:rtl w:val="0"/>
        </w:rPr>
        <w:t xml:space="preserve">, 122646. Recuperado de: https://doi.org/10.1139/cjfr-2025-0045</w:t>
      </w:r>
    </w:p>
    <w:p w:rsidR="00000000" w:rsidDel="00000000" w:rsidP="00000000" w:rsidRDefault="00000000" w:rsidRPr="00000000" w14:paraId="00000033">
      <w:pPr>
        <w:spacing w:after="160" w:lineRule="auto"/>
        <w:rPr>
          <w:rFonts w:ascii="Calibri" w:cs="Calibri" w:eastAsia="Calibri" w:hAnsi="Calibri"/>
        </w:rPr>
      </w:pPr>
      <w:r w:rsidDel="00000000" w:rsidR="00000000" w:rsidRPr="00000000">
        <w:rPr>
          <w:rFonts w:ascii="Calibri" w:cs="Calibri" w:eastAsia="Calibri" w:hAnsi="Calibri"/>
          <w:rtl w:val="0"/>
        </w:rPr>
        <w:t xml:space="preserve">Vitousek, P. M., D'Antonio, C. M., Loope, L. L., Rejmánek, M., &amp; Westbrooks, R. (1997). Introduced species: A significant component of human-caused global change. </w:t>
      </w:r>
      <w:r w:rsidDel="00000000" w:rsidR="00000000" w:rsidRPr="00000000">
        <w:rPr>
          <w:rFonts w:ascii="Calibri" w:cs="Calibri" w:eastAsia="Calibri" w:hAnsi="Calibri"/>
          <w:i w:val="1"/>
          <w:iCs w:val="1"/>
          <w:rtl w:val="0"/>
        </w:rPr>
        <w:t xml:space="preserve">New Zealand Journal of Ecology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21</w:t>
      </w:r>
      <w:r w:rsidDel="00000000" w:rsidR="00000000" w:rsidRPr="00000000">
        <w:rPr>
          <w:rFonts w:ascii="Calibri" w:cs="Calibri" w:eastAsia="Calibri" w:hAnsi="Calibri"/>
          <w:rtl w:val="0"/>
        </w:rPr>
        <w:t xml:space="preserve">(1), 1–16.</w:t>
      </w:r>
    </w:p>
    <w:p w:rsidR="00000000" w:rsidDel="00000000" w:rsidP="00000000" w:rsidRDefault="00000000" w:rsidRPr="00000000" w14:paraId="00000034">
      <w:pPr>
        <w:spacing w:after="160" w:lineRule="auto"/>
        <w:rPr>
          <w:rFonts w:ascii="Calibri" w:cs="Calibri" w:eastAsia="Calibri" w:hAnsi="Calibri"/>
        </w:rPr>
      </w:pPr>
      <w:r w:rsidDel="00000000" w:rsidR="00000000" w:rsidRPr="00000000">
        <w:rPr>
          <w:rFonts w:ascii="Calibri" w:cs="Calibri" w:eastAsia="Calibri" w:hAnsi="Calibri"/>
          <w:rtl w:val="0"/>
        </w:rPr>
        <w:t xml:space="preserve">Whitworth-Hulse, J. I., Aragón, R., Fernández, R. D., &amp; Grau, H. R. (2023). </w:t>
      </w:r>
      <w:r w:rsidDel="00000000" w:rsidR="00000000" w:rsidRPr="00000000">
        <w:rPr>
          <w:rFonts w:ascii="Calibri" w:cs="Calibri" w:eastAsia="Calibri" w:hAnsi="Calibri"/>
          <w:i w:val="1"/>
          <w:iCs w:val="1"/>
          <w:rtl w:val="0"/>
        </w:rPr>
        <w:t xml:space="preserve">Effects of invasive Ligustrum lucidum on resource availability and native species regeneration in subtropical montane forests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Journal of Vegetation Science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34</w:t>
      </w:r>
      <w:r w:rsidDel="00000000" w:rsidR="00000000" w:rsidRPr="00000000">
        <w:rPr>
          <w:rFonts w:ascii="Calibri" w:cs="Calibri" w:eastAsia="Calibri" w:hAnsi="Calibri"/>
          <w:rtl w:val="0"/>
        </w:rPr>
        <w:t xml:space="preserve">(2), e13174.</w:t>
      </w:r>
    </w:p>
    <w:p w:rsidR="00000000" w:rsidDel="00000000" w:rsidP="00000000" w:rsidRDefault="00000000" w:rsidRPr="00000000" w14:paraId="00000035">
      <w:pPr>
        <w:spacing w:after="160" w:lineRule="auto"/>
        <w:rPr>
          <w:rFonts w:ascii="Calibri" w:cs="Calibri" w:eastAsia="Calibri" w:hAnsi="Calibri"/>
        </w:rPr>
      </w:pPr>
      <w:r w:rsidDel="00000000" w:rsidR="00000000" w:rsidRPr="00000000">
        <w:rPr>
          <w:rFonts w:ascii="Calibri" w:cs="Calibri" w:eastAsia="Calibri" w:hAnsi="Calibri"/>
          <w:rtl w:val="0"/>
        </w:rPr>
        <w:t xml:space="preserve">Whitworth-Hulse, J.I., Magliano, P.N., Zeballos, S.R., Nosetto, M.D., Gurvich, D.E., Ferreras, A., Spalazzi, F., Kowaljow, E. (2023). Ligustrum lucidum invasion alters the soil water dynamic in a seasonally multi-specific dry forest. Forest Ecology and Management, 549. Recuperado de: </w:t>
      </w:r>
      <w:hyperlink r:id="rId8">
        <w:r w:rsidDel="00000000" w:rsidR="00000000" w:rsidRPr="00000000">
          <w:rPr>
            <w:rFonts w:ascii="Calibri" w:cs="Calibri" w:eastAsia="Calibri" w:hAnsi="Calibri"/>
            <w:color w:val="1155cc"/>
            <w:u w:val="single"/>
            <w:rtl w:val="0"/>
          </w:rPr>
          <w:t xml:space="preserve">https://doi.org/10.1016/j.foreco.2023.121493</w:t>
        </w:r>
      </w:hyperlink>
      <w:r w:rsidDel="00000000" w:rsidR="00000000" w:rsidRPr="00000000">
        <w:rPr>
          <w:rtl w:val="0"/>
        </w:rPr>
      </w:r>
    </w:p>
    <w:p w:rsidR="00000000" w:rsidDel="00000000" w:rsidP="00000000" w:rsidRDefault="00000000" w:rsidRPr="00000000" w14:paraId="00000036">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6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3B">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D">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sedici.unlp.edu.ar/bitstream/handle/10915/166374/Documento_completo.pdf-PDFA.pdf?sequence=1&amp;isAllowed=y" TargetMode="External"/><Relationship Id="rId7" Type="http://schemas.openxmlformats.org/officeDocument/2006/relationships/hyperlink" Target="https://doi.org/10.1007/s12229-020-09228-w" TargetMode="External"/><Relationship Id="rId8" Type="http://schemas.openxmlformats.org/officeDocument/2006/relationships/hyperlink" Target="https://doi.org/10.1016/j.foreco.2023.1214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