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Reglas de negocio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Regla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Fuente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RN-001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El código de lote debe ser único por piscicultor. Formato obligatorio: [PREFIJO_ESTACIÓN]-[AAAAMMDD]-[SECUENCIAL_3_DÍGITOS]. Ejemplo: ESTMETA-20250524-001. Solo se permiten caracteres alfanuméricos y guiones. Longitud máxima: 30 caracteres.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Dominio SECCT / GTC 157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RN-002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La estación de origen es obligatoria y debe corresponder a una instalación piscícola registrada. En  esta Iteración 1, se acepta como cadena de texto libre (máx. 100 caracteres).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NTC 1443  / GTC 157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RN-003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La fecha de captura es obligatoria. No puede ser posterior a la fecha actual del sistema ni anterior a 30 días calendario (producto perecedero).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NTC 1443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RN-004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La especie es obligatoria. En el alcance actual del SECCT, el único valor válido es TILAPIA_ROJA (Oreochromis spp.).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Alcance del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RN-005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El tipo de presentación es obligatorio. Valor permitido en Iteración 1: PESCADO_ENTERO. Los valores MEDALLONES y TROZOS están modelados en el dominio (NTC 1443) pero fuera del alcance de evaluación actual.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NTC 1443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RN-006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El peso total estimado del lote es obligatorio. Debe ser un valor numérico positivo expresado en kilogramos (kg), con precisión de hasta dos decimales. Mínimo: 0.01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NTC 1443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RN-007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Fonts w:ascii="Arial Unicode MS" w:cs="Arial Unicode MS" w:eastAsia="Arial Unicode MS" w:hAnsi="Arial Unicode MS"/>
                <w:rtl w:val="0"/>
              </w:rPr>
              <w:t xml:space="preserve">El número aproximado de unidades es obligatorio. Debe ser un entero positivo ≥ 1. Representa la cantidad de ejemplares del lote, necesaria para el posterior cálculo del tamaño de muestra estadístico (AQL-6.5, CAC/GL 50-2004) que se implementará en una iteración futura.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NTC 1443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RN-008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El estado inicial del lote al momento del registro siempre es ABIERTO. Los estados posteriores del ciclo de vida (EN_EVALUACION, EVALUADO, REPORTADO) son gestionados por otros casos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Dominio SECCT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RN-009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Las observaciones son opcionales. Longitud máxima: 500 caracteres. Pueden incluir condiciones de transporte, temperatura del agua, uso de hielo (proporción recomendada 2:1 hielo/producto según NTC 1443), u otros datos de contexto relevantes para la 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NTC 1443 / GTC 157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RN-010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Todo lote registrado debe quedar asociado de forma permanente e inmutable al identificador del piscicultor autenticado que lo creó. Esta asociación no puede modificarse.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GTC 157 — Trazabilidad</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Descripcion del caso de uso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El caso de uso permite a un Piscicultor crear un nuevo registro de lote de Tilapia Roja en cualquier eslabón de la cadena de distribución acuícola (estación piscícola, centro de acopio, distribuidor mayorista o plaza de mercado). El registro captura los metadatos del lote que son necesarios para garantizar la trazabilidad completa del producto según los lineamientos de la NTC 1443.</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Extracción de clases candidatas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El Sistema de Evaluación de Calidad de Carne de Tilapia (SECCT) es una aplicación móvil que permite a un </w:t>
      </w:r>
      <w:r w:rsidDel="00000000" w:rsidR="00000000" w:rsidRPr="00000000">
        <w:rPr>
          <w:b w:val="1"/>
          <w:bCs w:val="1"/>
          <w:rtl w:val="0"/>
        </w:rPr>
        <w:t xml:space="preserve">piscicultor</w:t>
      </w:r>
      <w:r w:rsidDel="00000000" w:rsidR="00000000" w:rsidRPr="00000000">
        <w:rPr>
          <w:rtl w:val="0"/>
        </w:rPr>
        <w:t xml:space="preserve"> evaluar la calidad de unidades de tilapia de un </w:t>
      </w:r>
      <w:r w:rsidDel="00000000" w:rsidR="00000000" w:rsidRPr="00000000">
        <w:rPr>
          <w:b w:val="1"/>
          <w:bCs w:val="1"/>
          <w:rtl w:val="0"/>
        </w:rPr>
        <w:t xml:space="preserve">lote</w:t>
      </w:r>
      <w:r w:rsidDel="00000000" w:rsidR="00000000" w:rsidRPr="00000000">
        <w:rPr>
          <w:rtl w:val="0"/>
        </w:rPr>
        <w:t xml:space="preserve">, según los criterios de la Norma Técnica Colombiana NTC 1443. El piscicultor registra un lote indicando su </w:t>
      </w:r>
      <w:r w:rsidDel="00000000" w:rsidR="00000000" w:rsidRPr="00000000">
        <w:rPr>
          <w:b w:val="1"/>
          <w:bCs w:val="1"/>
          <w:rtl w:val="0"/>
        </w:rPr>
        <w:t xml:space="preserve">estación de origen</w:t>
      </w:r>
      <w:r w:rsidDel="00000000" w:rsidR="00000000" w:rsidRPr="00000000">
        <w:rPr>
          <w:rtl w:val="0"/>
        </w:rPr>
        <w:t xml:space="preserve">, </w:t>
      </w:r>
      <w:r w:rsidDel="00000000" w:rsidR="00000000" w:rsidRPr="00000000">
        <w:rPr>
          <w:b w:val="1"/>
          <w:bCs w:val="1"/>
          <w:rtl w:val="0"/>
        </w:rPr>
        <w:t xml:space="preserve">fecha de captura</w:t>
      </w:r>
      <w:r w:rsidDel="00000000" w:rsidR="00000000" w:rsidRPr="00000000">
        <w:rPr>
          <w:rtl w:val="0"/>
        </w:rPr>
        <w:t xml:space="preserve">, </w:t>
      </w:r>
      <w:r w:rsidDel="00000000" w:rsidR="00000000" w:rsidRPr="00000000">
        <w:rPr>
          <w:b w:val="1"/>
          <w:bCs w:val="1"/>
          <w:rtl w:val="0"/>
        </w:rPr>
        <w:t xml:space="preserve">especie</w:t>
      </w:r>
      <w:r w:rsidDel="00000000" w:rsidR="00000000" w:rsidRPr="00000000">
        <w:rPr>
          <w:rtl w:val="0"/>
        </w:rPr>
        <w:t xml:space="preserve">, </w:t>
      </w:r>
      <w:r w:rsidDel="00000000" w:rsidR="00000000" w:rsidRPr="00000000">
        <w:rPr>
          <w:b w:val="1"/>
          <w:bCs w:val="1"/>
          <w:rtl w:val="0"/>
        </w:rPr>
        <w:t xml:space="preserve">peso estimado</w:t>
      </w:r>
      <w:r w:rsidDel="00000000" w:rsidR="00000000" w:rsidRPr="00000000">
        <w:rPr>
          <w:rtl w:val="0"/>
        </w:rPr>
        <w:t xml:space="preserve"> y </w:t>
      </w:r>
      <w:r w:rsidDel="00000000" w:rsidR="00000000" w:rsidRPr="00000000">
        <w:rPr>
          <w:b w:val="1"/>
          <w:bCs w:val="1"/>
          <w:rtl w:val="0"/>
        </w:rPr>
        <w:t xml:space="preserve">unidades aproximadas</w:t>
      </w:r>
      <w:r w:rsidDel="00000000" w:rsidR="00000000" w:rsidRPr="00000000">
        <w:rPr>
          <w:rtl w:val="0"/>
        </w:rPr>
        <w:t xml:space="preserve">. Para cada unidad de la muestra, el piscicultor carga una imagen previamente tomada con su dispositivo; el sistema preprocesa la imagen aplicando eliminación de fondo, normalización de luminosidad y ajuste de contraste, e invoca un servicio externo de red neuronal convolucional (CNN) que analiza la región ocular de la unidad y retorna una clasificación de calidad según los criterios sensoriales definidos en la NTC 1443. El sistema asocia cada clasificación a la unidad correspondiente dentro del lote. Una vez evaluadas las unidades de la muestra, el piscicultor solicita la generación de un reporte que consolida las clasificaciones obtenidas, calcula los indicadores agregados de calidad del lote según los criterios de aceptación de la NTC 1443, y queda almacenado en el histórico del piscicultor para trazabilidad.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El caso de uso Registrar Lote permite al piscicultor crear un nuevo registro de lote de tilapia roja (Oreochromis spp.) en el sistema SECCT, capturando los datos mínimos necesarios para identificar su procedencia, condiciones de captura y características físicas preliminares. Este registro constituye la unidad primaria de trazabilidad del sistema, tal como lo exige la NTC 1443 (sección 9 — Aceptación del Lote y la GTC 157 referenciada en su anexo normativo). El lote registrado queda en estado ABIERTO, disponible para que el piscicultor asocie imágenes de unidades de muestra en el caso de uso evaluar calidad. El registro no implica ninguna evaluación de calidad; es exclusivamente un acto de captura de datos e identidad del lote.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a9999"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Clases candidatas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Piscicultor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EstacionDeOrigen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FechaDeCaptura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Especie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PesoEstimado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UnidadesAproximadas</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Tiene identidad propia (código único), estado que varía a lo largo de su ciclo de vida (ABIERTO → EN_EVALUACION → EVALUADO → REPORTADO), agrega datos de negocio duraderos y es el concepto central alrededor del cual se articula todo el dominio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CodigoDeLote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Encapsula el formato, la validación y la unicidad del identificador del lote. No tiene identidad por referencia, sino por valor (RN-001). Su inmutabilidad lo hace un Value Object canónico en DDD. Protege la invariante de formato desde el interior del dominio, sin delegar esa responsabilidad a la UI o a la capa de 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EstaciónDeOrigen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Encapsula la regla de validación sobre el origen del lote. Para este caso de uso, el nivel de detalle requerido es de Value Object, sin identidad propia.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FechaDeCaptura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Escenario principal: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Flujo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Piscicultor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Selecciona la opción "Registrar Nuevo Lote" desde el menú principal de la aplicación.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Presenta la pantalla RegistrarLoteView con un formulario vacío. Genera internamente un identificador preliminar de lote (loteCodigo) siguiendo la convención LOT-{AAAAMMDD}-{SECUENCIA} y lo muestra como campo de solo lectura al piscicultor para su conocimiento.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Piscicultor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Ingresa los datos del lote en el formulario: nombre o código de la estación de origen, fecha de captura, especie (valor fijo: "Tilapia Roja - Oreochromis spp." en esta iteración), estado de conservación (fresco/refrigerado/congelado), peso total estimado del lote (kg) y número aproximado de unidades en el lote. Opcionalmente, agrega observaciones de contexto.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Piscicultor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Confirma el registro pulsando el botón "Guardar Lote".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Ejecuta la validación de integridad sobre todos los campos obligatorios (Segun las reglas de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Instancia un Value Object CodigoLote con el identificador generado y valida su unicidad en el repositorio.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Construye la entidad de dominio Lote con el estado inicial ABIERTO y los atributos suministrados. Invoca el caso de uso de aplicación RegistrarLoteUseCase, que delega la persistencia al puerto LoteRepository.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