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modelo predominante en todo sentido fue el logístico ya que en cada una de las métricas destacó frente a los otros modelos.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14805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48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AUC es de 0,898 por lo que el modelo distingue bien entre clases.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otro lado, el CA de 0,843 significa que el 84,3% de las predicciones del modelo, son acertadas.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Después, como hay un gran desbalance de clases, observamos el F1 de 0,837, siendo este relativamente alto por lo que consideramos que explica bien el modelo.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último el MCC de 0,551 nos explica que el modelo está “equilibrado” a pesar de los desbalances.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