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rFonts w:ascii="Verdana" w:cs="Verdana" w:eastAsia="Verdana" w:hAnsi="Verdana"/>
          <w:color w:val="373a3c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9540"/>
        <w:tblGridChange w:id="0">
          <w:tblGrid>
            <w:gridCol w:w="5010"/>
            <w:gridCol w:w="95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spacing w:line="240" w:lineRule="auto"/>
              <w:jc w:val="right"/>
              <w:rPr>
                <w:rFonts w:ascii="Times New Roman" w:cs="Times New Roman" w:eastAsia="Times New Roman" w:hAnsi="Times New Roman"/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73a3c"/>
                <w:sz w:val="18"/>
                <w:szCs w:val="18"/>
                <w:rtl w:val="0"/>
              </w:rPr>
              <w:t xml:space="preserve"> Pierre Soulages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line="240" w:lineRule="auto"/>
              <w:rPr>
                <w:rFonts w:ascii="Verdana" w:cs="Verdana" w:eastAsia="Verdana" w:hAnsi="Verdana"/>
                <w:color w:val="373a3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Verdana" w:cs="Verdana" w:eastAsia="Verdana" w:hAnsi="Verdana"/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73a3c"/>
                <w:sz w:val="18"/>
                <w:szCs w:val="18"/>
              </w:rPr>
              <w:drawing>
                <wp:inline distB="114300" distT="114300" distL="114300" distR="114300">
                  <wp:extent cx="1220115" cy="1890713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115" cy="1890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color w:val="373a3c"/>
                <w:sz w:val="18"/>
                <w:szCs w:val="18"/>
              </w:rPr>
              <w:drawing>
                <wp:inline distB="114300" distT="114300" distL="114300" distR="114300">
                  <wp:extent cx="1734413" cy="1908823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413" cy="19088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color w:val="373a3c"/>
                <w:sz w:val="18"/>
                <w:szCs w:val="18"/>
              </w:rPr>
              <w:drawing>
                <wp:inline distB="114300" distT="114300" distL="114300" distR="114300">
                  <wp:extent cx="1456463" cy="2029338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63" cy="2029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color w:val="373a3c"/>
                <w:sz w:val="18"/>
                <w:szCs w:val="18"/>
              </w:rPr>
              <w:drawing>
                <wp:inline distB="114300" distT="114300" distL="114300" distR="114300">
                  <wp:extent cx="1505637" cy="2033588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637" cy="2033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Lines w:val="1"/>
              <w:shd w:fill="ffffff" w:val="clear"/>
              <w:spacing w:line="240" w:lineRule="auto"/>
              <w:jc w:val="right"/>
              <w:rPr>
                <w:rFonts w:ascii="Verdana" w:cs="Verdana" w:eastAsia="Verdana" w:hAnsi="Verdana"/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73a3c"/>
                <w:sz w:val="20"/>
                <w:szCs w:val="20"/>
                <w:rtl w:val="0"/>
              </w:rPr>
              <w:t xml:space="preserve">Análisis formal y estético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line="240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En esta serie de obras el negro emerge como el protagonista principal, manifestándose en líneas de diferentes longitudes y formas que se entrelazan entre sí. Un aspecto distintivo son las líneas rojas, generan un gran contraste.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line="240" w:lineRule="auto"/>
              <w:rPr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La textura surge del proceso creativo del artista, quien emplea herramientas y técnicas para generar el efecto de pinceladas con un grosor constante. Estas se encuentran en la parte superior de la obra y ocupan casi todo el ancho, mientras que la línea roja se va a encontrar en la parte inferior, y va a mantener una dirección, horizontal o vertical.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line="240" w:lineRule="auto"/>
              <w:rPr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color w:val="0d0d0d"/>
                <w:sz w:val="18"/>
                <w:szCs w:val="18"/>
                <w:rtl w:val="0"/>
              </w:rPr>
              <w:t xml:space="preserve">La disposición de las líneas no solo otorga equilibrio visual, sino que también puede generar tensiones o ritmos. Con un fondo blanco, que permite a la pieza respirar y resalta las figuras presentes en ella.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rFonts w:ascii="Verdana" w:cs="Verdana" w:eastAsia="Verdana" w:hAnsi="Verdana"/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jc w:val="right"/>
              <w:rPr>
                <w:rFonts w:ascii="Verdana" w:cs="Verdana" w:eastAsia="Verdana" w:hAnsi="Verdana"/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73a3c"/>
                <w:sz w:val="20"/>
                <w:szCs w:val="20"/>
                <w:rtl w:val="0"/>
              </w:rPr>
              <w:t xml:space="preserve">Análisis procedural y propuesta de interacción</w:t>
            </w:r>
            <w:r w:rsidDel="00000000" w:rsidR="00000000" w:rsidRPr="00000000">
              <w:rPr>
                <w:rFonts w:ascii="Verdana" w:cs="Verdana" w:eastAsia="Verdana" w:hAnsi="Verdana"/>
                <w:color w:val="373a3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Genere un lienzo rectangular vertical.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Pinte el lienzo con un color claro y un poco sucio.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Genere un número al azar entre 6 y 20, dibuje líneas con un grosor de 60, siguiendo las pautas: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líneas pueden ser rectas, también se pueden curvar o quebrar, algunas de ellas pueden ser perpendiculares entre sí mientras otras se mezclan y entrecruzan.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Algunas deben surgir desde los bordes del lienzo.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Deben parecer pinceladas y algunas pueden ir perdiendo pintura en su trazo variando la presión del pincel o generando un aspecto de “suciedad”.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color w:val="373a3c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líneas pueden ir en todas las direcciones.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mayoría deben ser de color negro. Las demás deben ser color rojo.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Genere un número entero al azar entre 0 y 2.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resultado es 0, no dibuje ninguna línea roja.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resultado es 1, dibuje una línea vertical roja, de un ⅕ del alto del lienzo.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resultado es 2, dibuje dos líneas horizontales rojas, que ocupen todo el ancho del lienzo.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Al iniciar, se generará un lienzo rectangular con un fondo claro y algo sucio, conforme a las obras de Pierre Soulages, y se encontrarán dibujadas las líneas tanto negras como la roja que seguirán patrones similares a pinceladas, mezcladas y entrecruzadas de manera dinámica. Sin la presencia de una voz, las líneas irán desvaneciendo, pero al presentarse el sonido, éstas aumentarán su opacidad.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Con un tono de voz grave y una intensidad fuerte, las líneas negras van a ir moviéndose para formar la obra, y cuando la intensidad disminuya van a volver por su recorrido.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Con un tono de voz agudo las líneas rojas van a ir moviéndose y cambiando su dirección vertical a horizontal.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hd w:fill="ffffff" w:val="clear"/>
        <w:spacing w:after="0" w:line="240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1906" w:w="16838" w:orient="landscape"/>
      <w:pgMar w:bottom="1133.8582677165355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shd w:fill="ffffff" w:val="clear"/>
      <w:spacing w:after="240" w:line="240" w:lineRule="auto"/>
      <w:jc w:val="center"/>
      <w:rPr>
        <w:rFonts w:ascii="Times New Roman" w:cs="Times New Roman" w:eastAsia="Times New Roman" w:hAnsi="Times New Roman"/>
        <w:b w:val="1"/>
        <w:color w:val="373a3c"/>
        <w:shd w:fill="a4c2f4" w:val="clear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73a3c"/>
        <w:shd w:fill="a4c2f4" w:val="clear"/>
        <w:rtl w:val="0"/>
      </w:rPr>
      <w:t xml:space="preserve">Tecnología Multimedial 2 | Cátedra Causa </w:t>
    </w:r>
  </w:p>
  <w:p w:rsidR="00000000" w:rsidDel="00000000" w:rsidP="00000000" w:rsidRDefault="00000000" w:rsidRPr="00000000" w14:paraId="0000001E">
    <w:pPr>
      <w:pageBreakBefore w:val="0"/>
      <w:shd w:fill="ffffff" w:val="clear"/>
      <w:spacing w:after="240" w:line="240" w:lineRule="auto"/>
      <w:jc w:val="center"/>
      <w:rPr>
        <w:rFonts w:ascii="Verdana" w:cs="Verdana" w:eastAsia="Verdana" w:hAnsi="Verdana"/>
        <w:color w:val="073763"/>
        <w:sz w:val="20"/>
        <w:szCs w:val="20"/>
      </w:rPr>
    </w:pPr>
    <w:r w:rsidDel="00000000" w:rsidR="00000000" w:rsidRPr="00000000">
      <w:rPr>
        <w:rFonts w:ascii="Verdana" w:cs="Verdana" w:eastAsia="Verdana" w:hAnsi="Verdana"/>
        <w:color w:val="073763"/>
        <w:sz w:val="20"/>
        <w:szCs w:val="20"/>
        <w:rtl w:val="0"/>
      </w:rPr>
      <w:t xml:space="preserve">Facultad de Artes UNLP | </w:t>
    </w:r>
    <w:r w:rsidDel="00000000" w:rsidR="00000000" w:rsidRPr="00000000">
      <w:rPr>
        <w:rFonts w:ascii="Verdana" w:cs="Verdana" w:eastAsia="Verdana" w:hAnsi="Verdana"/>
        <w:b w:val="1"/>
        <w:color w:val="073763"/>
        <w:sz w:val="20"/>
        <w:szCs w:val="20"/>
        <w:rtl w:val="0"/>
      </w:rPr>
      <w:t xml:space="preserve">Trabajo Práctico #1</w:t>
    </w:r>
    <w:r w:rsidDel="00000000" w:rsidR="00000000" w:rsidRPr="00000000">
      <w:rPr>
        <w:rFonts w:ascii="Verdana" w:cs="Verdana" w:eastAsia="Verdana" w:hAnsi="Verdana"/>
        <w:color w:val="073763"/>
        <w:sz w:val="20"/>
        <w:szCs w:val="20"/>
        <w:rtl w:val="0"/>
      </w:rPr>
      <w:t xml:space="preserve">. Etapa 1: Análisis.</w:t>
    </w:r>
  </w:p>
  <w:tbl>
    <w:tblPr>
      <w:tblStyle w:val="Table2"/>
      <w:tblW w:w="1450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505"/>
      <w:tblGridChange w:id="0">
        <w:tblGrid>
          <w:gridCol w:w="14505"/>
        </w:tblGrid>
      </w:tblGridChange>
    </w:tblGrid>
    <w:tr>
      <w:trPr>
        <w:cantSplit w:val="0"/>
        <w:tblHeader w:val="0"/>
      </w:trPr>
      <w:tc>
        <w:tcPr>
          <w:shd w:fill="cfe2f3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color w:val="373a3c"/>
              <w:sz w:val="20"/>
              <w:szCs w:val="20"/>
            </w:rPr>
          </w:pPr>
          <w:r w:rsidDel="00000000" w:rsidR="00000000" w:rsidRPr="00000000">
            <w:rPr>
              <w:rFonts w:ascii="Verdana" w:cs="Verdana" w:eastAsia="Verdana" w:hAnsi="Verdana"/>
              <w:color w:val="373a3c"/>
              <w:sz w:val="20"/>
              <w:szCs w:val="20"/>
              <w:rtl w:val="0"/>
            </w:rPr>
            <w:t xml:space="preserve">Estudiantes: Juana Chancelier Cucchetti, Alexia Anduaga, Leonardo Sanchez, Simón Gómez</w:t>
          </w:r>
        </w:p>
      </w:tc>
    </w:tr>
  </w:tbl>
  <w:p w:rsidR="00000000" w:rsidDel="00000000" w:rsidP="00000000" w:rsidRDefault="00000000" w:rsidRPr="00000000" w14:paraId="00000020">
    <w:pPr>
      <w:pageBreakBefore w:val="0"/>
      <w:shd w:fill="ffffff" w:val="clear"/>
      <w:spacing w:after="0" w:line="240" w:lineRule="auto"/>
      <w:jc w:val="left"/>
      <w:rPr>
        <w:rFonts w:ascii="Verdana" w:cs="Verdana" w:eastAsia="Verdana" w:hAnsi="Verdana"/>
        <w:color w:val="373a3c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